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F64E6" w:rsidRDefault="009C5A94" w:rsidP="00561476">
      <w:pPr>
        <w:jc w:val="center"/>
        <w:rPr>
          <w:b/>
          <w:sz w:val="36"/>
          <w:szCs w:val="36"/>
        </w:rPr>
      </w:pPr>
      <w:r w:rsidRPr="002F64E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F64E6" w:rsidRDefault="00561476" w:rsidP="00561476">
      <w:pPr>
        <w:jc w:val="center"/>
        <w:rPr>
          <w:b/>
          <w:sz w:val="36"/>
          <w:szCs w:val="36"/>
          <w:lang w:val="en-US"/>
        </w:rPr>
      </w:pPr>
    </w:p>
    <w:p w14:paraId="4AA3D8A5" w14:textId="77777777" w:rsidR="000A4DD6" w:rsidRPr="002F64E6" w:rsidRDefault="000A4DD6" w:rsidP="00561476">
      <w:pPr>
        <w:jc w:val="center"/>
        <w:rPr>
          <w:b/>
          <w:sz w:val="36"/>
          <w:szCs w:val="36"/>
          <w:lang w:val="en-US"/>
        </w:rPr>
      </w:pPr>
    </w:p>
    <w:p w14:paraId="0ABB1680" w14:textId="77777777" w:rsidR="000A4DD6" w:rsidRPr="002F64E6" w:rsidRDefault="000A4DD6" w:rsidP="00561476">
      <w:pPr>
        <w:jc w:val="center"/>
        <w:rPr>
          <w:b/>
          <w:sz w:val="36"/>
          <w:szCs w:val="36"/>
          <w:lang w:val="en-US"/>
        </w:rPr>
      </w:pPr>
    </w:p>
    <w:p w14:paraId="465AD6D6" w14:textId="77777777" w:rsidR="000A4DD6" w:rsidRPr="002F64E6" w:rsidRDefault="000A4DD6" w:rsidP="00561476">
      <w:pPr>
        <w:jc w:val="center"/>
        <w:rPr>
          <w:b/>
          <w:sz w:val="36"/>
          <w:szCs w:val="36"/>
          <w:lang w:val="en-US"/>
        </w:rPr>
      </w:pPr>
    </w:p>
    <w:p w14:paraId="25F09B46" w14:textId="77777777" w:rsidR="00561476" w:rsidRPr="002F64E6" w:rsidRDefault="00561476" w:rsidP="00561476">
      <w:pPr>
        <w:tabs>
          <w:tab w:val="left" w:pos="5204"/>
        </w:tabs>
        <w:jc w:val="left"/>
        <w:rPr>
          <w:b/>
          <w:sz w:val="36"/>
          <w:szCs w:val="36"/>
        </w:rPr>
      </w:pPr>
      <w:r w:rsidRPr="002F64E6">
        <w:rPr>
          <w:b/>
          <w:sz w:val="36"/>
          <w:szCs w:val="36"/>
        </w:rPr>
        <w:tab/>
      </w:r>
    </w:p>
    <w:p w14:paraId="1A818381" w14:textId="77777777" w:rsidR="00561476" w:rsidRPr="002F64E6" w:rsidRDefault="00561476" w:rsidP="00561476">
      <w:pPr>
        <w:jc w:val="center"/>
        <w:rPr>
          <w:b/>
          <w:sz w:val="36"/>
          <w:szCs w:val="36"/>
        </w:rPr>
      </w:pPr>
    </w:p>
    <w:p w14:paraId="759EB2BE" w14:textId="77777777" w:rsidR="00561476" w:rsidRPr="002F64E6" w:rsidRDefault="00CB76D2" w:rsidP="00561476">
      <w:pPr>
        <w:jc w:val="center"/>
        <w:rPr>
          <w:b/>
          <w:sz w:val="48"/>
          <w:szCs w:val="48"/>
        </w:rPr>
      </w:pPr>
      <w:bookmarkStart w:id="0" w:name="_Toc226196784"/>
      <w:bookmarkStart w:id="1" w:name="_Toc226197203"/>
      <w:r w:rsidRPr="002F64E6">
        <w:rPr>
          <w:b/>
          <w:sz w:val="48"/>
          <w:szCs w:val="48"/>
        </w:rPr>
        <w:t>М</w:t>
      </w:r>
      <w:r w:rsidR="00561476" w:rsidRPr="002F64E6">
        <w:rPr>
          <w:b/>
          <w:sz w:val="48"/>
          <w:szCs w:val="48"/>
        </w:rPr>
        <w:t>ониторинг СМИ</w:t>
      </w:r>
      <w:bookmarkEnd w:id="0"/>
      <w:bookmarkEnd w:id="1"/>
      <w:r w:rsidR="00561476" w:rsidRPr="002F64E6">
        <w:rPr>
          <w:b/>
          <w:sz w:val="48"/>
          <w:szCs w:val="48"/>
        </w:rPr>
        <w:t xml:space="preserve"> РФ</w:t>
      </w:r>
    </w:p>
    <w:p w14:paraId="643C1CC8" w14:textId="77777777" w:rsidR="00561476" w:rsidRPr="002F64E6" w:rsidRDefault="00561476" w:rsidP="00561476">
      <w:pPr>
        <w:jc w:val="center"/>
        <w:rPr>
          <w:b/>
          <w:sz w:val="48"/>
          <w:szCs w:val="48"/>
        </w:rPr>
      </w:pPr>
      <w:bookmarkStart w:id="2" w:name="_Toc226196785"/>
      <w:bookmarkStart w:id="3" w:name="_Toc226197204"/>
      <w:r w:rsidRPr="002F64E6">
        <w:rPr>
          <w:b/>
          <w:sz w:val="48"/>
          <w:szCs w:val="48"/>
        </w:rPr>
        <w:t>по пенсионной тематике</w:t>
      </w:r>
      <w:bookmarkEnd w:id="2"/>
      <w:bookmarkEnd w:id="3"/>
    </w:p>
    <w:p w14:paraId="712904F0" w14:textId="77777777" w:rsidR="008B6D1B" w:rsidRPr="002F64E6" w:rsidRDefault="008B6D1B" w:rsidP="00C70A20">
      <w:pPr>
        <w:jc w:val="center"/>
        <w:rPr>
          <w:b/>
          <w:sz w:val="48"/>
          <w:szCs w:val="48"/>
        </w:rPr>
      </w:pPr>
    </w:p>
    <w:p w14:paraId="4DAF54B0" w14:textId="77777777" w:rsidR="007D6FE5" w:rsidRPr="002F64E6" w:rsidRDefault="007D6FE5" w:rsidP="00C70A20">
      <w:pPr>
        <w:jc w:val="center"/>
        <w:rPr>
          <w:b/>
          <w:sz w:val="36"/>
          <w:szCs w:val="36"/>
        </w:rPr>
      </w:pPr>
      <w:r w:rsidRPr="002F64E6">
        <w:rPr>
          <w:b/>
          <w:sz w:val="36"/>
          <w:szCs w:val="36"/>
        </w:rPr>
        <w:t xml:space="preserve"> </w:t>
      </w:r>
    </w:p>
    <w:p w14:paraId="5A50B42F" w14:textId="5FFAC134" w:rsidR="00C70A20" w:rsidRPr="002F64E6" w:rsidRDefault="00543169" w:rsidP="00C70A20">
      <w:pPr>
        <w:jc w:val="center"/>
        <w:rPr>
          <w:b/>
          <w:sz w:val="40"/>
          <w:szCs w:val="40"/>
        </w:rPr>
      </w:pPr>
      <w:r w:rsidRPr="002F64E6">
        <w:rPr>
          <w:b/>
          <w:sz w:val="40"/>
          <w:szCs w:val="40"/>
        </w:rPr>
        <w:t>0</w:t>
      </w:r>
      <w:r w:rsidR="00490F7E" w:rsidRPr="002F64E6">
        <w:rPr>
          <w:b/>
          <w:sz w:val="40"/>
          <w:szCs w:val="40"/>
        </w:rPr>
        <w:t>5</w:t>
      </w:r>
      <w:r w:rsidR="000214CF" w:rsidRPr="002F64E6">
        <w:rPr>
          <w:b/>
          <w:sz w:val="40"/>
          <w:szCs w:val="40"/>
        </w:rPr>
        <w:t>.</w:t>
      </w:r>
      <w:r w:rsidR="00A646EC" w:rsidRPr="002F64E6">
        <w:rPr>
          <w:b/>
          <w:sz w:val="40"/>
          <w:szCs w:val="40"/>
        </w:rPr>
        <w:t>0</w:t>
      </w:r>
      <w:r w:rsidRPr="002F64E6">
        <w:rPr>
          <w:b/>
          <w:sz w:val="40"/>
          <w:szCs w:val="40"/>
        </w:rPr>
        <w:t>3</w:t>
      </w:r>
      <w:r w:rsidR="00A646EC" w:rsidRPr="002F64E6">
        <w:rPr>
          <w:b/>
          <w:sz w:val="40"/>
          <w:szCs w:val="40"/>
        </w:rPr>
        <w:t>.</w:t>
      </w:r>
      <w:r w:rsidR="007D6FE5" w:rsidRPr="002F64E6">
        <w:rPr>
          <w:b/>
          <w:sz w:val="40"/>
          <w:szCs w:val="40"/>
        </w:rPr>
        <w:t>20</w:t>
      </w:r>
      <w:r w:rsidR="00EB57E7" w:rsidRPr="002F64E6">
        <w:rPr>
          <w:b/>
          <w:sz w:val="40"/>
          <w:szCs w:val="40"/>
        </w:rPr>
        <w:t>2</w:t>
      </w:r>
      <w:r w:rsidR="00A646EC" w:rsidRPr="002F64E6">
        <w:rPr>
          <w:b/>
          <w:sz w:val="40"/>
          <w:szCs w:val="40"/>
        </w:rPr>
        <w:t>6</w:t>
      </w:r>
      <w:r w:rsidR="00C70A20" w:rsidRPr="002F64E6">
        <w:rPr>
          <w:b/>
          <w:sz w:val="40"/>
          <w:szCs w:val="40"/>
        </w:rPr>
        <w:t xml:space="preserve"> г</w:t>
      </w:r>
      <w:r w:rsidR="007D6FE5" w:rsidRPr="002F64E6">
        <w:rPr>
          <w:b/>
          <w:sz w:val="40"/>
          <w:szCs w:val="40"/>
        </w:rPr>
        <w:t>.</w:t>
      </w:r>
    </w:p>
    <w:p w14:paraId="651D5D84" w14:textId="77777777" w:rsidR="007D6FE5" w:rsidRPr="002F64E6" w:rsidRDefault="007D6FE5" w:rsidP="000C1A46">
      <w:pPr>
        <w:jc w:val="center"/>
        <w:rPr>
          <w:b/>
          <w:sz w:val="40"/>
          <w:szCs w:val="40"/>
        </w:rPr>
      </w:pPr>
    </w:p>
    <w:p w14:paraId="3299871E" w14:textId="77777777" w:rsidR="00C16C6D" w:rsidRPr="002F64E6" w:rsidRDefault="00C16C6D" w:rsidP="000C1A46">
      <w:pPr>
        <w:jc w:val="center"/>
        <w:rPr>
          <w:b/>
          <w:sz w:val="40"/>
          <w:szCs w:val="40"/>
        </w:rPr>
      </w:pPr>
    </w:p>
    <w:p w14:paraId="46E14E88" w14:textId="77777777" w:rsidR="00C70A20" w:rsidRPr="002F64E6" w:rsidRDefault="00C70A20" w:rsidP="000C1A46">
      <w:pPr>
        <w:jc w:val="center"/>
        <w:rPr>
          <w:b/>
          <w:sz w:val="40"/>
          <w:szCs w:val="40"/>
        </w:rPr>
      </w:pPr>
    </w:p>
    <w:p w14:paraId="4C8E9FEE" w14:textId="77777777" w:rsidR="00C70A20" w:rsidRPr="002F64E6" w:rsidRDefault="00C70A20" w:rsidP="000C1A46">
      <w:pPr>
        <w:jc w:val="center"/>
      </w:pPr>
    </w:p>
    <w:p w14:paraId="169A5637" w14:textId="77777777" w:rsidR="00CB76D2" w:rsidRPr="002F64E6" w:rsidRDefault="00CB76D2" w:rsidP="000C1A46">
      <w:pPr>
        <w:jc w:val="center"/>
        <w:rPr>
          <w:b/>
          <w:sz w:val="40"/>
          <w:szCs w:val="40"/>
        </w:rPr>
      </w:pPr>
    </w:p>
    <w:p w14:paraId="39EA2CE9" w14:textId="77777777" w:rsidR="009D66A1" w:rsidRPr="002F64E6" w:rsidRDefault="009B23FE" w:rsidP="009B23FE">
      <w:pPr>
        <w:pStyle w:val="10"/>
        <w:jc w:val="center"/>
      </w:pPr>
      <w:r w:rsidRPr="002F64E6">
        <w:br w:type="page"/>
      </w:r>
      <w:bookmarkStart w:id="4" w:name="_Toc396864626"/>
      <w:bookmarkStart w:id="5" w:name="_Toc223591085"/>
      <w:r w:rsidR="009D79CC" w:rsidRPr="002F64E6">
        <w:lastRenderedPageBreak/>
        <w:t>Те</w:t>
      </w:r>
      <w:r w:rsidR="009D66A1" w:rsidRPr="002F64E6">
        <w:t>мы</w:t>
      </w:r>
      <w:r w:rsidR="009D66A1" w:rsidRPr="002F64E6">
        <w:rPr>
          <w:rFonts w:ascii="Arial Rounded MT Bold" w:hAnsi="Arial Rounded MT Bold"/>
        </w:rPr>
        <w:t xml:space="preserve"> </w:t>
      </w:r>
      <w:r w:rsidR="009D66A1" w:rsidRPr="002F64E6">
        <w:t>дня</w:t>
      </w:r>
      <w:bookmarkEnd w:id="4"/>
      <w:bookmarkEnd w:id="5"/>
    </w:p>
    <w:p w14:paraId="67C9B192" w14:textId="417B6393" w:rsidR="00A1463C" w:rsidRPr="002F64E6" w:rsidRDefault="000D71EB" w:rsidP="00676D5F">
      <w:pPr>
        <w:numPr>
          <w:ilvl w:val="0"/>
          <w:numId w:val="25"/>
        </w:numPr>
        <w:rPr>
          <w:i/>
        </w:rPr>
      </w:pPr>
      <w:hyperlink w:anchor="ф1" w:history="1">
        <w:r w:rsidR="008652F9" w:rsidRPr="002F64E6">
          <w:rPr>
            <w:rStyle w:val="a3"/>
            <w:i/>
          </w:rPr>
          <w:t xml:space="preserve">Рейтинговое агентство </w:t>
        </w:r>
        <w:r w:rsidR="00E77AB9">
          <w:rPr>
            <w:rStyle w:val="a3"/>
            <w:i/>
          </w:rPr>
          <w:t>«</w:t>
        </w:r>
        <w:r w:rsidR="008652F9" w:rsidRPr="002F64E6">
          <w:rPr>
            <w:rStyle w:val="a3"/>
            <w:i/>
          </w:rPr>
          <w:t>Эксперт РА</w:t>
        </w:r>
        <w:r w:rsidR="00E77AB9">
          <w:rPr>
            <w:rStyle w:val="a3"/>
            <w:i/>
          </w:rPr>
          <w:t>»</w:t>
        </w:r>
      </w:hyperlink>
      <w:r w:rsidR="008652F9" w:rsidRPr="002F64E6">
        <w:rPr>
          <w:i/>
        </w:rPr>
        <w:t xml:space="preserve"> совместно с </w:t>
      </w:r>
      <w:r w:rsidR="00E77AB9">
        <w:rPr>
          <w:i/>
        </w:rPr>
        <w:t>«</w:t>
      </w:r>
      <w:r w:rsidR="008652F9" w:rsidRPr="002F64E6">
        <w:rPr>
          <w:i/>
        </w:rPr>
        <w:t>Эксперт Бизнес-Решения</w:t>
      </w:r>
      <w:r w:rsidR="00E77AB9">
        <w:rPr>
          <w:i/>
        </w:rPr>
        <w:t>»</w:t>
      </w:r>
      <w:r w:rsidR="008652F9" w:rsidRPr="002F64E6">
        <w:rPr>
          <w:i/>
        </w:rPr>
        <w:t xml:space="preserve"> подготовили </w:t>
      </w:r>
      <w:proofErr w:type="spellStart"/>
      <w:r w:rsidR="008652F9" w:rsidRPr="002F64E6">
        <w:rPr>
          <w:i/>
        </w:rPr>
        <w:t>рэнкинги</w:t>
      </w:r>
      <w:proofErr w:type="spellEnd"/>
      <w:r w:rsidR="008652F9" w:rsidRPr="002F64E6">
        <w:rPr>
          <w:i/>
        </w:rPr>
        <w:t xml:space="preserve"> управляющих компаний по итогам 2025 года. </w:t>
      </w:r>
      <w:proofErr w:type="spellStart"/>
      <w:r w:rsidR="008652F9" w:rsidRPr="002F64E6">
        <w:rPr>
          <w:i/>
        </w:rPr>
        <w:t>Рэнкинги</w:t>
      </w:r>
      <w:proofErr w:type="spellEnd"/>
      <w:r w:rsidR="008652F9" w:rsidRPr="002F64E6">
        <w:rPr>
          <w:i/>
        </w:rPr>
        <w:t xml:space="preserve"> сформированы на основе данных, предоставленных участниками рынка по состоянию на 31.12.2025. Абсолютным показателем для ранжирования выступает стоимость чистых активов (СЧА) под управлением по основным видам доверительного управления</w:t>
      </w:r>
    </w:p>
    <w:p w14:paraId="1E926926" w14:textId="11E99307" w:rsidR="008652F9" w:rsidRPr="002F64E6" w:rsidRDefault="008652F9" w:rsidP="00676D5F">
      <w:pPr>
        <w:numPr>
          <w:ilvl w:val="0"/>
          <w:numId w:val="25"/>
        </w:numPr>
        <w:rPr>
          <w:i/>
        </w:rPr>
      </w:pPr>
      <w:r w:rsidRPr="002F64E6">
        <w:rPr>
          <w:i/>
        </w:rPr>
        <w:t xml:space="preserve">Банк России ожидает, что по итогам 2026 года объем вложений в рамках программы долгосрочных сбережений (ПДС) может достигнуть 1,5 трлн рублей, сообщила директор департамента инвестиционных финансовых посредников ЦБ Ольга </w:t>
      </w:r>
      <w:proofErr w:type="spellStart"/>
      <w:r w:rsidRPr="002F64E6">
        <w:rPr>
          <w:i/>
        </w:rPr>
        <w:t>Шишлянникова</w:t>
      </w:r>
      <w:proofErr w:type="spellEnd"/>
      <w:r w:rsidRPr="002F64E6">
        <w:rPr>
          <w:i/>
        </w:rPr>
        <w:t xml:space="preserve">. ЦБ, по ее словам, хотел бы видеть переориентацию этого инструмента на более молодую возрастную группу. В феврале замминистра финансов Иван </w:t>
      </w:r>
      <w:proofErr w:type="spellStart"/>
      <w:r w:rsidRPr="002F64E6">
        <w:rPr>
          <w:i/>
        </w:rPr>
        <w:t>Чебесков</w:t>
      </w:r>
      <w:proofErr w:type="spellEnd"/>
      <w:r w:rsidRPr="002F64E6">
        <w:rPr>
          <w:i/>
        </w:rPr>
        <w:t xml:space="preserve"> сообщал о подготовке законопроекта, который увеличивает минимальный срок для вывода средств </w:t>
      </w:r>
      <w:proofErr w:type="spellStart"/>
      <w:r w:rsidRPr="002F64E6">
        <w:rPr>
          <w:i/>
        </w:rPr>
        <w:t>софинансирования</w:t>
      </w:r>
      <w:proofErr w:type="spellEnd"/>
      <w:r w:rsidRPr="002F64E6">
        <w:rPr>
          <w:i/>
        </w:rPr>
        <w:t xml:space="preserve"> в рамках ПДС до пяти лет, </w:t>
      </w:r>
      <w:hyperlink w:anchor="ф2" w:history="1">
        <w:r w:rsidR="00640509" w:rsidRPr="002F64E6">
          <w:rPr>
            <w:rStyle w:val="a3"/>
            <w:i/>
          </w:rPr>
          <w:t xml:space="preserve">передает </w:t>
        </w:r>
        <w:r w:rsidR="00E77AB9">
          <w:rPr>
            <w:rStyle w:val="a3"/>
            <w:i/>
          </w:rPr>
          <w:t>«</w:t>
        </w:r>
        <w:proofErr w:type="spellStart"/>
        <w:r w:rsidR="00640509" w:rsidRPr="002F64E6">
          <w:rPr>
            <w:rStyle w:val="a3"/>
            <w:i/>
          </w:rPr>
          <w:t>Финмаркет</w:t>
        </w:r>
        <w:proofErr w:type="spellEnd"/>
        <w:r w:rsidR="00E77AB9">
          <w:rPr>
            <w:rStyle w:val="a3"/>
            <w:i/>
          </w:rPr>
          <w:t>»</w:t>
        </w:r>
      </w:hyperlink>
    </w:p>
    <w:p w14:paraId="7B366781" w14:textId="4E122BB9" w:rsidR="008652F9" w:rsidRPr="002F64E6" w:rsidRDefault="00640509" w:rsidP="00676D5F">
      <w:pPr>
        <w:numPr>
          <w:ilvl w:val="0"/>
          <w:numId w:val="25"/>
        </w:numPr>
        <w:rPr>
          <w:i/>
        </w:rPr>
      </w:pPr>
      <w:r w:rsidRPr="002F64E6">
        <w:rPr>
          <w:i/>
        </w:rPr>
        <w:t xml:space="preserve">Банк России драйвером роста программы долгосрочных сбережений (ПДС) видит переориентацию инструмента на молодежь и на лиц среднего возраста, сообщила директор департамента инвестиционных финансовых посредников регулятора Ольга </w:t>
      </w:r>
      <w:proofErr w:type="spellStart"/>
      <w:r w:rsidRPr="002F64E6">
        <w:rPr>
          <w:i/>
        </w:rPr>
        <w:t>Шишлянникова</w:t>
      </w:r>
      <w:proofErr w:type="spellEnd"/>
      <w:r w:rsidRPr="002F64E6">
        <w:rPr>
          <w:i/>
        </w:rPr>
        <w:t xml:space="preserve">. По ее словам, по итогам 2025 года в ПДС было привлечено 717 миллиардов рублей, в настоящее время эта цифра приближается к 800 миллиардам рублей. На конец прошлого года в программе было 9 миллионов участников, а сейчас их число превысило 10,5 миллиона, </w:t>
      </w:r>
      <w:hyperlink w:anchor="ф3" w:history="1">
        <w:r w:rsidRPr="002F64E6">
          <w:rPr>
            <w:rStyle w:val="a3"/>
            <w:i/>
          </w:rPr>
          <w:t>сообщает</w:t>
        </w:r>
        <w:r w:rsidRPr="002F64E6">
          <w:rPr>
            <w:rStyle w:val="a3"/>
            <w:i/>
          </w:rPr>
          <w:t xml:space="preserve"> </w:t>
        </w:r>
        <w:r w:rsidRPr="002F64E6">
          <w:rPr>
            <w:rStyle w:val="a3"/>
            <w:i/>
          </w:rPr>
          <w:t>РИА Новости</w:t>
        </w:r>
      </w:hyperlink>
    </w:p>
    <w:p w14:paraId="0CCDF72C" w14:textId="498FB209" w:rsidR="00640509" w:rsidRPr="002F64E6" w:rsidRDefault="00640509" w:rsidP="00676D5F">
      <w:pPr>
        <w:numPr>
          <w:ilvl w:val="0"/>
          <w:numId w:val="25"/>
        </w:numPr>
        <w:rPr>
          <w:i/>
        </w:rPr>
      </w:pPr>
      <w:r w:rsidRPr="002F64E6">
        <w:rPr>
          <w:i/>
        </w:rPr>
        <w:t xml:space="preserve">Банк России видит, что рассчитанная на молодежь и людей среднего возраста программа долгосрочных сбережений (ПДС) пользуется большей популярностью у лиц </w:t>
      </w:r>
      <w:proofErr w:type="spellStart"/>
      <w:r w:rsidRPr="002F64E6">
        <w:rPr>
          <w:i/>
        </w:rPr>
        <w:t>предпенсионного</w:t>
      </w:r>
      <w:proofErr w:type="spellEnd"/>
      <w:r w:rsidRPr="002F64E6">
        <w:rPr>
          <w:i/>
        </w:rPr>
        <w:t xml:space="preserve"> и пенсионного возраста в силу тех льгот, которые государство дает по этим инструментам. Об этом в рамках II форума лидеров рынка управления активами, организованного рейтинговым агентством </w:t>
      </w:r>
      <w:r w:rsidR="00E77AB9">
        <w:rPr>
          <w:i/>
        </w:rPr>
        <w:t>«</w:t>
      </w:r>
      <w:r w:rsidRPr="002F64E6">
        <w:rPr>
          <w:i/>
        </w:rPr>
        <w:t>Эксперт РА</w:t>
      </w:r>
      <w:r w:rsidR="00E77AB9">
        <w:rPr>
          <w:i/>
        </w:rPr>
        <w:t>»</w:t>
      </w:r>
      <w:r w:rsidRPr="002F64E6">
        <w:rPr>
          <w:i/>
        </w:rPr>
        <w:t xml:space="preserve">, заявила директор департамента инвестиционных финансовых посредников Банка России Ольга </w:t>
      </w:r>
      <w:proofErr w:type="spellStart"/>
      <w:r w:rsidRPr="002F64E6">
        <w:rPr>
          <w:i/>
        </w:rPr>
        <w:t>Шишлянникова</w:t>
      </w:r>
      <w:proofErr w:type="spellEnd"/>
      <w:r w:rsidRPr="002F64E6">
        <w:rPr>
          <w:i/>
        </w:rPr>
        <w:t xml:space="preserve">, </w:t>
      </w:r>
      <w:hyperlink w:anchor="ф4" w:history="1">
        <w:r w:rsidRPr="002F64E6">
          <w:rPr>
            <w:rStyle w:val="a3"/>
            <w:i/>
          </w:rPr>
          <w:t>информирует ТАСС</w:t>
        </w:r>
      </w:hyperlink>
    </w:p>
    <w:p w14:paraId="69B16402" w14:textId="786977C6" w:rsidR="003B172F" w:rsidRPr="002F64E6" w:rsidRDefault="003B172F" w:rsidP="00676D5F">
      <w:pPr>
        <w:numPr>
          <w:ilvl w:val="0"/>
          <w:numId w:val="25"/>
        </w:numPr>
        <w:rPr>
          <w:i/>
        </w:rPr>
      </w:pPr>
      <w:r w:rsidRPr="002F64E6">
        <w:rPr>
          <w:i/>
        </w:rPr>
        <w:t xml:space="preserve">Банк России поддержал инициативу Минфина по увеличению срока вывода средств с ПДС. Об этом журналистам сообщила директор департамента инвестиционных финансовых посредников Банка России Ольга </w:t>
      </w:r>
      <w:proofErr w:type="spellStart"/>
      <w:r w:rsidRPr="002F64E6">
        <w:rPr>
          <w:i/>
        </w:rPr>
        <w:t>Шишлянникова</w:t>
      </w:r>
      <w:proofErr w:type="spellEnd"/>
      <w:r w:rsidRPr="002F64E6">
        <w:rPr>
          <w:i/>
        </w:rPr>
        <w:t xml:space="preserve"> в кулуарах второго ежегодного Форума лидеров рынка управления активами, организованного рейтинговым агентством </w:t>
      </w:r>
      <w:r w:rsidR="00E77AB9">
        <w:rPr>
          <w:i/>
        </w:rPr>
        <w:t>«</w:t>
      </w:r>
      <w:r w:rsidRPr="002F64E6">
        <w:rPr>
          <w:i/>
        </w:rPr>
        <w:t>Эксперт РА</w:t>
      </w:r>
      <w:r w:rsidR="00E77AB9">
        <w:rPr>
          <w:i/>
        </w:rPr>
        <w:t>»</w:t>
      </w:r>
      <w:r w:rsidRPr="002F64E6">
        <w:rPr>
          <w:i/>
        </w:rPr>
        <w:t xml:space="preserve">, </w:t>
      </w:r>
      <w:hyperlink w:anchor="ф8" w:history="1">
        <w:r w:rsidRPr="002F64E6">
          <w:rPr>
            <w:rStyle w:val="a3"/>
            <w:i/>
          </w:rPr>
          <w:t xml:space="preserve">передают </w:t>
        </w:r>
        <w:r w:rsidR="00E77AB9">
          <w:rPr>
            <w:rStyle w:val="a3"/>
            <w:i/>
          </w:rPr>
          <w:t>«</w:t>
        </w:r>
        <w:r w:rsidRPr="002F64E6">
          <w:rPr>
            <w:rStyle w:val="a3"/>
            <w:i/>
          </w:rPr>
          <w:t>РБК Инвестиции</w:t>
        </w:r>
        <w:r w:rsidR="00E77AB9">
          <w:rPr>
            <w:rStyle w:val="a3"/>
            <w:i/>
          </w:rPr>
          <w:t>»</w:t>
        </w:r>
      </w:hyperlink>
    </w:p>
    <w:p w14:paraId="22F4A913" w14:textId="628E7CF0" w:rsidR="00640509" w:rsidRPr="002F64E6" w:rsidRDefault="00071805" w:rsidP="00676D5F">
      <w:pPr>
        <w:numPr>
          <w:ilvl w:val="0"/>
          <w:numId w:val="25"/>
        </w:numPr>
        <w:rPr>
          <w:i/>
        </w:rPr>
      </w:pPr>
      <w:r w:rsidRPr="002F64E6">
        <w:rPr>
          <w:i/>
        </w:rPr>
        <w:t xml:space="preserve">Негосударственные пенсионные фонды второй год подряд оценивают состояние пенсионного рынка позитивно и отмечают, что для эффективного развития нужны долгосрочная стратегия развития и регуляторные изменения. К такому выводу пришли НПФ, опрошенные агентством </w:t>
      </w:r>
      <w:r w:rsidR="00E77AB9">
        <w:rPr>
          <w:i/>
        </w:rPr>
        <w:t>«</w:t>
      </w:r>
      <w:r w:rsidRPr="002F64E6">
        <w:rPr>
          <w:i/>
        </w:rPr>
        <w:t>Эксперт РА</w:t>
      </w:r>
      <w:r w:rsidR="00E77AB9">
        <w:rPr>
          <w:i/>
        </w:rPr>
        <w:t>»</w:t>
      </w:r>
      <w:r w:rsidRPr="002F64E6">
        <w:rPr>
          <w:i/>
        </w:rPr>
        <w:t xml:space="preserve">. </w:t>
      </w:r>
      <w:hyperlink w:anchor="ф5" w:history="1">
        <w:r w:rsidR="00E77AB9">
          <w:rPr>
            <w:rStyle w:val="a3"/>
            <w:i/>
          </w:rPr>
          <w:t>«</w:t>
        </w:r>
        <w:r w:rsidRPr="002F64E6">
          <w:rPr>
            <w:rStyle w:val="a3"/>
            <w:i/>
          </w:rPr>
          <w:t>РБК Инвестиции</w:t>
        </w:r>
        <w:r w:rsidR="00E77AB9">
          <w:rPr>
            <w:rStyle w:val="a3"/>
            <w:i/>
          </w:rPr>
          <w:t>»</w:t>
        </w:r>
        <w:r w:rsidRPr="002F64E6">
          <w:rPr>
            <w:rStyle w:val="a3"/>
            <w:i/>
          </w:rPr>
          <w:t xml:space="preserve"> ознакомились с результатами исследования</w:t>
        </w:r>
      </w:hyperlink>
    </w:p>
    <w:p w14:paraId="75919A78" w14:textId="75B9A66B" w:rsidR="00071805" w:rsidRPr="002F64E6" w:rsidRDefault="00071805" w:rsidP="00676D5F">
      <w:pPr>
        <w:numPr>
          <w:ilvl w:val="0"/>
          <w:numId w:val="25"/>
        </w:numPr>
        <w:rPr>
          <w:i/>
        </w:rPr>
      </w:pPr>
      <w:r w:rsidRPr="002F64E6">
        <w:rPr>
          <w:i/>
        </w:rPr>
        <w:t xml:space="preserve">По данным </w:t>
      </w:r>
      <w:proofErr w:type="spellStart"/>
      <w:r w:rsidRPr="002F64E6">
        <w:rPr>
          <w:i/>
        </w:rPr>
        <w:t>СберНПФ</w:t>
      </w:r>
      <w:proofErr w:type="spellEnd"/>
      <w:r w:rsidRPr="002F64E6">
        <w:rPr>
          <w:i/>
        </w:rPr>
        <w:t xml:space="preserve">, в 2025 году российские женщины отложили 164 млрд рублей с программой долгосрочных сбережений (ПДС). Это в два раза больше, чем годом ранее. </w:t>
      </w:r>
      <w:proofErr w:type="spellStart"/>
      <w:r w:rsidRPr="002F64E6">
        <w:rPr>
          <w:i/>
        </w:rPr>
        <w:t>Сберегательницы</w:t>
      </w:r>
      <w:proofErr w:type="spellEnd"/>
      <w:r w:rsidRPr="002F64E6">
        <w:rPr>
          <w:i/>
        </w:rPr>
        <w:t xml:space="preserve"> на четверть увеличили среднюю сумму текущего взноса. При этом самыми бережливыми оказались жительницы </w:t>
      </w:r>
      <w:r w:rsidRPr="002F64E6">
        <w:rPr>
          <w:i/>
        </w:rPr>
        <w:lastRenderedPageBreak/>
        <w:t xml:space="preserve">Москвы, Подмосковья и Краснодарского края. Россиянки в прошлом году открыли 3,4 млн ПДС-копилок с помощью </w:t>
      </w:r>
      <w:proofErr w:type="spellStart"/>
      <w:r w:rsidRPr="002F64E6">
        <w:rPr>
          <w:i/>
        </w:rPr>
        <w:t>СберНПФ</w:t>
      </w:r>
      <w:proofErr w:type="spellEnd"/>
      <w:r w:rsidRPr="002F64E6">
        <w:rPr>
          <w:i/>
        </w:rPr>
        <w:t xml:space="preserve"> — в два с половиной раза больше, чем в 2024. Они направили в программу 114 млрд рублей личных взносов и перевели в неё 50 млрд рублей средств накопительной пенсии,</w:t>
      </w:r>
      <w:r w:rsidR="0077738E" w:rsidRPr="002F64E6">
        <w:rPr>
          <w:i/>
        </w:rPr>
        <w:t xml:space="preserve"> </w:t>
      </w:r>
      <w:hyperlink w:anchor="ф6" w:history="1">
        <w:r w:rsidR="0077738E" w:rsidRPr="002F64E6">
          <w:rPr>
            <w:rStyle w:val="a3"/>
            <w:i/>
          </w:rPr>
          <w:t>пишет</w:t>
        </w:r>
        <w:r w:rsidRPr="002F64E6">
          <w:rPr>
            <w:rStyle w:val="a3"/>
            <w:i/>
          </w:rPr>
          <w:t xml:space="preserve"> </w:t>
        </w:r>
        <w:proofErr w:type="spellStart"/>
        <w:r w:rsidRPr="002F64E6">
          <w:rPr>
            <w:rStyle w:val="a3"/>
            <w:i/>
          </w:rPr>
          <w:t>PLUSWorld</w:t>
        </w:r>
        <w:proofErr w:type="spellEnd"/>
      </w:hyperlink>
    </w:p>
    <w:p w14:paraId="65B70509" w14:textId="6844D95A" w:rsidR="00071805" w:rsidRPr="002F64E6" w:rsidRDefault="0077738E" w:rsidP="00676D5F">
      <w:pPr>
        <w:numPr>
          <w:ilvl w:val="0"/>
          <w:numId w:val="25"/>
        </w:numPr>
        <w:rPr>
          <w:i/>
        </w:rPr>
      </w:pPr>
      <w:r w:rsidRPr="002F64E6">
        <w:rPr>
          <w:i/>
        </w:rPr>
        <w:t xml:space="preserve">Ряд пенсионных выплат в России будет увеличен с 1 апреля 2026 года – это касается социальных, государственных и страховых пенсий, </w:t>
      </w:r>
      <w:hyperlink w:anchor="ф7" w:history="1">
        <w:r w:rsidRPr="002F64E6">
          <w:rPr>
            <w:rStyle w:val="a3"/>
            <w:i/>
          </w:rPr>
          <w:t>рассказал ТАСС</w:t>
        </w:r>
      </w:hyperlink>
      <w:r w:rsidRPr="002F64E6">
        <w:rPr>
          <w:i/>
        </w:rPr>
        <w:t xml:space="preserve"> член комитета Госдумы по малому и среднему предпринимательству Алексей </w:t>
      </w:r>
      <w:proofErr w:type="spellStart"/>
      <w:r w:rsidRPr="002F64E6">
        <w:rPr>
          <w:i/>
        </w:rPr>
        <w:t>Говырин</w:t>
      </w:r>
      <w:proofErr w:type="spellEnd"/>
      <w:r w:rsidRPr="002F64E6">
        <w:rPr>
          <w:i/>
        </w:rPr>
        <w:t xml:space="preserve">. Если считать по объявленным 6,8%, то базовая социальная пенсия по старости вырастет примерно с 8 824 до 9 424 рублей, подсчитал </w:t>
      </w:r>
      <w:proofErr w:type="spellStart"/>
      <w:r w:rsidRPr="002F64E6">
        <w:rPr>
          <w:i/>
        </w:rPr>
        <w:t>Говырин</w:t>
      </w:r>
      <w:proofErr w:type="spellEnd"/>
    </w:p>
    <w:p w14:paraId="161FE9FE" w14:textId="77777777" w:rsidR="00940029" w:rsidRPr="002F64E6" w:rsidRDefault="009D79CC" w:rsidP="00940029">
      <w:pPr>
        <w:pStyle w:val="10"/>
        <w:jc w:val="center"/>
      </w:pPr>
      <w:bookmarkStart w:id="6" w:name="_Toc173015209"/>
      <w:bookmarkStart w:id="7" w:name="_Toc223591086"/>
      <w:r w:rsidRPr="002F64E6">
        <w:t>Ци</w:t>
      </w:r>
      <w:r w:rsidR="00940029" w:rsidRPr="002F64E6">
        <w:t>таты дня</w:t>
      </w:r>
      <w:bookmarkEnd w:id="6"/>
      <w:bookmarkEnd w:id="7"/>
    </w:p>
    <w:p w14:paraId="616085AB" w14:textId="47E4E1F4" w:rsidR="00676D5F" w:rsidRPr="002F64E6" w:rsidRDefault="004F3187" w:rsidP="003B3BAA">
      <w:pPr>
        <w:numPr>
          <w:ilvl w:val="0"/>
          <w:numId w:val="27"/>
        </w:numPr>
        <w:rPr>
          <w:i/>
        </w:rPr>
      </w:pPr>
      <w:r w:rsidRPr="002F64E6">
        <w:rPr>
          <w:i/>
        </w:rPr>
        <w:t xml:space="preserve">Ольга </w:t>
      </w:r>
      <w:proofErr w:type="spellStart"/>
      <w:r w:rsidRPr="002F64E6">
        <w:rPr>
          <w:i/>
        </w:rPr>
        <w:t>Шишлянникова</w:t>
      </w:r>
      <w:proofErr w:type="spellEnd"/>
      <w:r w:rsidRPr="002F64E6">
        <w:rPr>
          <w:i/>
        </w:rPr>
        <w:t xml:space="preserve">, директор департамента инвестиционных финансовых посредников ЦБ: </w:t>
      </w:r>
      <w:r w:rsidR="00E77AB9">
        <w:rPr>
          <w:i/>
        </w:rPr>
        <w:t>«</w:t>
      </w:r>
      <w:r w:rsidRPr="002F64E6">
        <w:rPr>
          <w:i/>
        </w:rPr>
        <w:t>Что нас расстраивает в этом инструменте</w:t>
      </w:r>
      <w:r w:rsidR="00A81573" w:rsidRPr="002F64E6">
        <w:rPr>
          <w:i/>
        </w:rPr>
        <w:t xml:space="preserve"> (ПДС – ред.)</w:t>
      </w:r>
      <w:r w:rsidRPr="002F64E6">
        <w:rPr>
          <w:i/>
        </w:rPr>
        <w:t xml:space="preserve">? Это состав участников. Мы видим, что к сожалению, инструмент, который, мы рассчитывали, будет пользоваться спросом у лиц среднего возраста и молодежи, к сожалению, пользуется огромным спросом у лиц </w:t>
      </w:r>
      <w:proofErr w:type="spellStart"/>
      <w:r w:rsidRPr="002F64E6">
        <w:rPr>
          <w:i/>
        </w:rPr>
        <w:t>предпенсионного</w:t>
      </w:r>
      <w:proofErr w:type="spellEnd"/>
      <w:r w:rsidRPr="002F64E6">
        <w:rPr>
          <w:i/>
        </w:rPr>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r w:rsidR="00E77AB9">
        <w:rPr>
          <w:i/>
        </w:rPr>
        <w:t>»</w:t>
      </w:r>
    </w:p>
    <w:p w14:paraId="2671D048" w14:textId="7AD619D4" w:rsidR="00A81573" w:rsidRPr="002F64E6" w:rsidRDefault="00A81573" w:rsidP="003B3BAA">
      <w:pPr>
        <w:numPr>
          <w:ilvl w:val="0"/>
          <w:numId w:val="27"/>
        </w:numPr>
        <w:rPr>
          <w:i/>
        </w:rPr>
      </w:pPr>
      <w:r w:rsidRPr="002F64E6">
        <w:rPr>
          <w:i/>
        </w:rPr>
        <w:t xml:space="preserve">Ольга </w:t>
      </w:r>
      <w:proofErr w:type="spellStart"/>
      <w:r w:rsidRPr="002F64E6">
        <w:rPr>
          <w:i/>
        </w:rPr>
        <w:t>Изюмова</w:t>
      </w:r>
      <w:proofErr w:type="spellEnd"/>
      <w:r w:rsidRPr="002F64E6">
        <w:rPr>
          <w:i/>
        </w:rPr>
        <w:t xml:space="preserve">, генеральный директор </w:t>
      </w:r>
      <w:proofErr w:type="spellStart"/>
      <w:r w:rsidRPr="002F64E6">
        <w:rPr>
          <w:i/>
        </w:rPr>
        <w:t>СберНПФ</w:t>
      </w:r>
      <w:proofErr w:type="spellEnd"/>
      <w:r w:rsidRPr="002F64E6">
        <w:rPr>
          <w:i/>
        </w:rPr>
        <w:t xml:space="preserve">: </w:t>
      </w:r>
      <w:r w:rsidR="00E77AB9">
        <w:rPr>
          <w:i/>
        </w:rPr>
        <w:t>«</w:t>
      </w:r>
      <w:r w:rsidRPr="002F64E6">
        <w:rPr>
          <w:i/>
        </w:rPr>
        <w:t xml:space="preserve">Российские женщины привыкли не только всё успевать на работе и дома, но и заботиться о будущем. В 2025 году их средний текущий взнос в программу долгосрочных сбережений в </w:t>
      </w:r>
      <w:proofErr w:type="spellStart"/>
      <w:r w:rsidRPr="002F64E6">
        <w:rPr>
          <w:i/>
        </w:rPr>
        <w:t>СберНПФ</w:t>
      </w:r>
      <w:proofErr w:type="spellEnd"/>
      <w:r w:rsidRPr="002F64E6">
        <w:rPr>
          <w:i/>
        </w:rPr>
        <w:t xml:space="preserve"> составил 6 тысяч рублей. Это на 25% больше, чем годом ранее. Самыми бережливыми оказались жительницы Москвы, Московской области, Краснодарского края, а также Республики Татарстан и Республики Башкортостан. Участницы из этих регионов чаще других делают долгосрочные сбережения с господдержкой и налоговыми льготами</w:t>
      </w:r>
      <w:r w:rsidR="00E77AB9">
        <w:rPr>
          <w:i/>
        </w:rPr>
        <w:t>»</w:t>
      </w:r>
    </w:p>
    <w:p w14:paraId="3D46776A" w14:textId="1ACB4136" w:rsidR="00A81573" w:rsidRPr="002F64E6" w:rsidRDefault="00A81573" w:rsidP="003B3BAA">
      <w:pPr>
        <w:numPr>
          <w:ilvl w:val="0"/>
          <w:numId w:val="27"/>
        </w:numPr>
        <w:rPr>
          <w:i/>
        </w:rPr>
      </w:pPr>
      <w:r w:rsidRPr="002F64E6">
        <w:rPr>
          <w:i/>
        </w:rPr>
        <w:t xml:space="preserve">Герман </w:t>
      </w:r>
      <w:proofErr w:type="spellStart"/>
      <w:r w:rsidRPr="002F64E6">
        <w:rPr>
          <w:i/>
        </w:rPr>
        <w:t>Барг</w:t>
      </w:r>
      <w:proofErr w:type="spellEnd"/>
      <w:r w:rsidRPr="002F64E6">
        <w:rPr>
          <w:i/>
        </w:rPr>
        <w:t xml:space="preserve">, председатель Московского банка Сбербанка: </w:t>
      </w:r>
      <w:r w:rsidR="00E77AB9">
        <w:rPr>
          <w:i/>
        </w:rPr>
        <w:t>«</w:t>
      </w:r>
      <w:r w:rsidRPr="002F64E6">
        <w:rPr>
          <w:i/>
        </w:rPr>
        <w:t xml:space="preserve">Москвички живут в многозадачном ритме большого города, но находят время для финансового планирования. В 2025 году они заключили больше всех договоров долгосрочных сбережений в </w:t>
      </w:r>
      <w:proofErr w:type="spellStart"/>
      <w:r w:rsidRPr="002F64E6">
        <w:rPr>
          <w:i/>
        </w:rPr>
        <w:t>СберНПФ</w:t>
      </w:r>
      <w:proofErr w:type="spellEnd"/>
      <w:r w:rsidRPr="002F64E6">
        <w:rPr>
          <w:i/>
        </w:rPr>
        <w:t>. Благодаря этому Москва оказалась на первой строчке рейтинга самых бережливых регионов. В прошлом году средний текущий взнос москвичек в программу долгосрочных сбережений достиг 8 тысяч рублей. Это на 37% больше, чем годом ранее</w:t>
      </w:r>
      <w:r w:rsidR="00E77AB9">
        <w:rPr>
          <w:i/>
        </w:rPr>
        <w:t>»</w:t>
      </w:r>
    </w:p>
    <w:p w14:paraId="5E36359E" w14:textId="77777777" w:rsidR="00A0290C" w:rsidRPr="002F64E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F64E6">
        <w:rPr>
          <w:u w:val="single"/>
        </w:rPr>
        <w:lastRenderedPageBreak/>
        <w:t>ОГЛАВЛЕНИЕ</w:t>
      </w:r>
    </w:p>
    <w:p w14:paraId="3ED9F780" w14:textId="2E075896" w:rsidR="00330860"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2F64E6">
        <w:rPr>
          <w:caps/>
        </w:rPr>
        <w:fldChar w:fldCharType="begin"/>
      </w:r>
      <w:r w:rsidR="00310633" w:rsidRPr="002F64E6">
        <w:rPr>
          <w:caps/>
        </w:rPr>
        <w:instrText xml:space="preserve"> TOC \o "1-5" \h \z \u </w:instrText>
      </w:r>
      <w:r w:rsidRPr="002F64E6">
        <w:rPr>
          <w:caps/>
        </w:rPr>
        <w:fldChar w:fldCharType="separate"/>
      </w:r>
      <w:hyperlink w:anchor="_Toc223591085" w:history="1">
        <w:r w:rsidR="00330860" w:rsidRPr="00451799">
          <w:rPr>
            <w:rStyle w:val="a3"/>
            <w:noProof/>
          </w:rPr>
          <w:t>Темы</w:t>
        </w:r>
        <w:r w:rsidR="00330860" w:rsidRPr="00451799">
          <w:rPr>
            <w:rStyle w:val="a3"/>
            <w:rFonts w:ascii="Arial Rounded MT Bold" w:hAnsi="Arial Rounded MT Bold"/>
            <w:noProof/>
          </w:rPr>
          <w:t xml:space="preserve"> </w:t>
        </w:r>
        <w:r w:rsidR="00330860" w:rsidRPr="00451799">
          <w:rPr>
            <w:rStyle w:val="a3"/>
            <w:noProof/>
          </w:rPr>
          <w:t>дня</w:t>
        </w:r>
        <w:r w:rsidR="00330860">
          <w:rPr>
            <w:noProof/>
            <w:webHidden/>
          </w:rPr>
          <w:tab/>
        </w:r>
        <w:r w:rsidR="00330860">
          <w:rPr>
            <w:noProof/>
            <w:webHidden/>
          </w:rPr>
          <w:fldChar w:fldCharType="begin"/>
        </w:r>
        <w:r w:rsidR="00330860">
          <w:rPr>
            <w:noProof/>
            <w:webHidden/>
          </w:rPr>
          <w:instrText xml:space="preserve"> PAGEREF _Toc223591085 \h </w:instrText>
        </w:r>
        <w:r w:rsidR="00330860">
          <w:rPr>
            <w:noProof/>
            <w:webHidden/>
          </w:rPr>
        </w:r>
        <w:r w:rsidR="00330860">
          <w:rPr>
            <w:noProof/>
            <w:webHidden/>
          </w:rPr>
          <w:fldChar w:fldCharType="separate"/>
        </w:r>
        <w:r w:rsidR="00850ED7">
          <w:rPr>
            <w:noProof/>
            <w:webHidden/>
          </w:rPr>
          <w:t>2</w:t>
        </w:r>
        <w:r w:rsidR="00330860">
          <w:rPr>
            <w:noProof/>
            <w:webHidden/>
          </w:rPr>
          <w:fldChar w:fldCharType="end"/>
        </w:r>
      </w:hyperlink>
    </w:p>
    <w:p w14:paraId="4AF8B04F" w14:textId="771D5449"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086" w:history="1">
        <w:r w:rsidR="00330860" w:rsidRPr="00451799">
          <w:rPr>
            <w:rStyle w:val="a3"/>
            <w:noProof/>
          </w:rPr>
          <w:t>Цитаты дня</w:t>
        </w:r>
        <w:r w:rsidR="00330860">
          <w:rPr>
            <w:noProof/>
            <w:webHidden/>
          </w:rPr>
          <w:tab/>
        </w:r>
        <w:r w:rsidR="00330860">
          <w:rPr>
            <w:noProof/>
            <w:webHidden/>
          </w:rPr>
          <w:fldChar w:fldCharType="begin"/>
        </w:r>
        <w:r w:rsidR="00330860">
          <w:rPr>
            <w:noProof/>
            <w:webHidden/>
          </w:rPr>
          <w:instrText xml:space="preserve"> PAGEREF _Toc223591086 \h </w:instrText>
        </w:r>
        <w:r w:rsidR="00330860">
          <w:rPr>
            <w:noProof/>
            <w:webHidden/>
          </w:rPr>
        </w:r>
        <w:r w:rsidR="00330860">
          <w:rPr>
            <w:noProof/>
            <w:webHidden/>
          </w:rPr>
          <w:fldChar w:fldCharType="separate"/>
        </w:r>
        <w:r w:rsidR="00850ED7">
          <w:rPr>
            <w:noProof/>
            <w:webHidden/>
          </w:rPr>
          <w:t>3</w:t>
        </w:r>
        <w:r w:rsidR="00330860">
          <w:rPr>
            <w:noProof/>
            <w:webHidden/>
          </w:rPr>
          <w:fldChar w:fldCharType="end"/>
        </w:r>
      </w:hyperlink>
    </w:p>
    <w:p w14:paraId="41909320" w14:textId="56D98DBB"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087" w:history="1">
        <w:r w:rsidR="00330860" w:rsidRPr="00451799">
          <w:rPr>
            <w:rStyle w:val="a3"/>
            <w:noProof/>
          </w:rPr>
          <w:t>НОВОСТИ ПЕНСИОННОЙ ОТРАСЛИ</w:t>
        </w:r>
        <w:r w:rsidR="00330860">
          <w:rPr>
            <w:noProof/>
            <w:webHidden/>
          </w:rPr>
          <w:tab/>
        </w:r>
        <w:r w:rsidR="00330860">
          <w:rPr>
            <w:noProof/>
            <w:webHidden/>
          </w:rPr>
          <w:fldChar w:fldCharType="begin"/>
        </w:r>
        <w:r w:rsidR="00330860">
          <w:rPr>
            <w:noProof/>
            <w:webHidden/>
          </w:rPr>
          <w:instrText xml:space="preserve"> PAGEREF _Toc223591087 \h </w:instrText>
        </w:r>
        <w:r w:rsidR="00330860">
          <w:rPr>
            <w:noProof/>
            <w:webHidden/>
          </w:rPr>
        </w:r>
        <w:r w:rsidR="00330860">
          <w:rPr>
            <w:noProof/>
            <w:webHidden/>
          </w:rPr>
          <w:fldChar w:fldCharType="separate"/>
        </w:r>
        <w:r w:rsidR="00850ED7">
          <w:rPr>
            <w:noProof/>
            <w:webHidden/>
          </w:rPr>
          <w:t>13</w:t>
        </w:r>
        <w:r w:rsidR="00330860">
          <w:rPr>
            <w:noProof/>
            <w:webHidden/>
          </w:rPr>
          <w:fldChar w:fldCharType="end"/>
        </w:r>
      </w:hyperlink>
    </w:p>
    <w:p w14:paraId="626916F4" w14:textId="0F41E4D9"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088" w:history="1">
        <w:r w:rsidR="00330860" w:rsidRPr="00451799">
          <w:rPr>
            <w:rStyle w:val="a3"/>
            <w:noProof/>
          </w:rPr>
          <w:t>Новости отрасли НПФ</w:t>
        </w:r>
        <w:r w:rsidR="00330860">
          <w:rPr>
            <w:noProof/>
            <w:webHidden/>
          </w:rPr>
          <w:tab/>
        </w:r>
        <w:r w:rsidR="00330860">
          <w:rPr>
            <w:noProof/>
            <w:webHidden/>
          </w:rPr>
          <w:fldChar w:fldCharType="begin"/>
        </w:r>
        <w:r w:rsidR="00330860">
          <w:rPr>
            <w:noProof/>
            <w:webHidden/>
          </w:rPr>
          <w:instrText xml:space="preserve"> PAGEREF _Toc223591088 \h </w:instrText>
        </w:r>
        <w:r w:rsidR="00330860">
          <w:rPr>
            <w:noProof/>
            <w:webHidden/>
          </w:rPr>
        </w:r>
        <w:r w:rsidR="00330860">
          <w:rPr>
            <w:noProof/>
            <w:webHidden/>
          </w:rPr>
          <w:fldChar w:fldCharType="separate"/>
        </w:r>
        <w:r w:rsidR="00850ED7">
          <w:rPr>
            <w:noProof/>
            <w:webHidden/>
          </w:rPr>
          <w:t>13</w:t>
        </w:r>
        <w:r w:rsidR="00330860">
          <w:rPr>
            <w:noProof/>
            <w:webHidden/>
          </w:rPr>
          <w:fldChar w:fldCharType="end"/>
        </w:r>
      </w:hyperlink>
    </w:p>
    <w:p w14:paraId="74A270CB" w14:textId="6FBA63C7"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089" w:history="1">
        <w:r w:rsidR="00330860" w:rsidRPr="00451799">
          <w:rPr>
            <w:rStyle w:val="a3"/>
            <w:noProof/>
          </w:rPr>
          <w:t>Рейтинговое агентство Эксперт РА, 04.03.2026, «Эксперт РА» и «Эксперт Бизнес-Решения» публикуют рэнкинги управляющих компаний по итогам 2025 года</w:t>
        </w:r>
        <w:r w:rsidR="00330860">
          <w:rPr>
            <w:noProof/>
            <w:webHidden/>
          </w:rPr>
          <w:tab/>
        </w:r>
        <w:r w:rsidR="00330860">
          <w:rPr>
            <w:noProof/>
            <w:webHidden/>
          </w:rPr>
          <w:fldChar w:fldCharType="begin"/>
        </w:r>
        <w:r w:rsidR="00330860">
          <w:rPr>
            <w:noProof/>
            <w:webHidden/>
          </w:rPr>
          <w:instrText xml:space="preserve"> PAGEREF _Toc223591089 \h </w:instrText>
        </w:r>
        <w:r w:rsidR="00330860">
          <w:rPr>
            <w:noProof/>
            <w:webHidden/>
          </w:rPr>
        </w:r>
        <w:r w:rsidR="00330860">
          <w:rPr>
            <w:noProof/>
            <w:webHidden/>
          </w:rPr>
          <w:fldChar w:fldCharType="separate"/>
        </w:r>
        <w:r w:rsidR="00850ED7">
          <w:rPr>
            <w:noProof/>
            <w:webHidden/>
          </w:rPr>
          <w:t>13</w:t>
        </w:r>
        <w:r w:rsidR="00330860">
          <w:rPr>
            <w:noProof/>
            <w:webHidden/>
          </w:rPr>
          <w:fldChar w:fldCharType="end"/>
        </w:r>
      </w:hyperlink>
    </w:p>
    <w:p w14:paraId="16CE1A01" w14:textId="05D5E40F" w:rsidR="00330860" w:rsidRDefault="000D71EB">
      <w:pPr>
        <w:pStyle w:val="31"/>
        <w:rPr>
          <w:rFonts w:asciiTheme="minorHAnsi" w:eastAsiaTheme="minorEastAsia" w:hAnsiTheme="minorHAnsi" w:cstheme="minorBidi"/>
          <w:kern w:val="2"/>
          <w:lang w:val="en-US" w:eastAsia="en-US"/>
          <w14:ligatures w14:val="standardContextual"/>
        </w:rPr>
      </w:pPr>
      <w:hyperlink w:anchor="_Toc223591090" w:history="1">
        <w:r w:rsidR="00330860" w:rsidRPr="00451799">
          <w:rPr>
            <w:rStyle w:val="a3"/>
          </w:rPr>
          <w:t>Рейтинговое агентство «Эксперт РА» совместно с «Эксперт Бизнес-Решения» подготовили рэнкинги управляющих компаний по итогам 2025 года. Рэнкинги сформированы на основе данных, предоставленных участниками рынка по состоянию на 31.12.2025. Абсолютным показателем для ранжирования выступает стоимость чистых активов (СЧА) под управлением по основным видам доверительного управления.</w:t>
        </w:r>
        <w:r w:rsidR="00330860">
          <w:rPr>
            <w:webHidden/>
          </w:rPr>
          <w:tab/>
        </w:r>
        <w:r w:rsidR="00330860">
          <w:rPr>
            <w:webHidden/>
          </w:rPr>
          <w:fldChar w:fldCharType="begin"/>
        </w:r>
        <w:r w:rsidR="00330860">
          <w:rPr>
            <w:webHidden/>
          </w:rPr>
          <w:instrText xml:space="preserve"> PAGEREF _Toc223591090 \h </w:instrText>
        </w:r>
        <w:r w:rsidR="00330860">
          <w:rPr>
            <w:webHidden/>
          </w:rPr>
        </w:r>
        <w:r w:rsidR="00330860">
          <w:rPr>
            <w:webHidden/>
          </w:rPr>
          <w:fldChar w:fldCharType="separate"/>
        </w:r>
        <w:r w:rsidR="00850ED7">
          <w:rPr>
            <w:webHidden/>
          </w:rPr>
          <w:t>13</w:t>
        </w:r>
        <w:r w:rsidR="00330860">
          <w:rPr>
            <w:webHidden/>
          </w:rPr>
          <w:fldChar w:fldCharType="end"/>
        </w:r>
      </w:hyperlink>
    </w:p>
    <w:p w14:paraId="7BC84E62" w14:textId="447D44DC"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091" w:history="1">
        <w:r w:rsidR="00330860" w:rsidRPr="00451799">
          <w:rPr>
            <w:rStyle w:val="a3"/>
            <w:noProof/>
          </w:rPr>
          <w:t>CNews, 04.03.2026, НПФ «Профессиональный» внедрил ИИ-платформу GPTZATOR в изолированном контуре</w:t>
        </w:r>
        <w:r w:rsidR="00330860">
          <w:rPr>
            <w:noProof/>
            <w:webHidden/>
          </w:rPr>
          <w:tab/>
        </w:r>
        <w:r w:rsidR="00330860">
          <w:rPr>
            <w:noProof/>
            <w:webHidden/>
          </w:rPr>
          <w:fldChar w:fldCharType="begin"/>
        </w:r>
        <w:r w:rsidR="00330860">
          <w:rPr>
            <w:noProof/>
            <w:webHidden/>
          </w:rPr>
          <w:instrText xml:space="preserve"> PAGEREF _Toc223591091 \h </w:instrText>
        </w:r>
        <w:r w:rsidR="00330860">
          <w:rPr>
            <w:noProof/>
            <w:webHidden/>
          </w:rPr>
        </w:r>
        <w:r w:rsidR="00330860">
          <w:rPr>
            <w:noProof/>
            <w:webHidden/>
          </w:rPr>
          <w:fldChar w:fldCharType="separate"/>
        </w:r>
        <w:r w:rsidR="00850ED7">
          <w:rPr>
            <w:noProof/>
            <w:webHidden/>
          </w:rPr>
          <w:t>14</w:t>
        </w:r>
        <w:r w:rsidR="00330860">
          <w:rPr>
            <w:noProof/>
            <w:webHidden/>
          </w:rPr>
          <w:fldChar w:fldCharType="end"/>
        </w:r>
      </w:hyperlink>
    </w:p>
    <w:p w14:paraId="4E740461" w14:textId="47350690" w:rsidR="00330860" w:rsidRDefault="000D71EB">
      <w:pPr>
        <w:pStyle w:val="31"/>
        <w:rPr>
          <w:rFonts w:asciiTheme="minorHAnsi" w:eastAsiaTheme="minorEastAsia" w:hAnsiTheme="minorHAnsi" w:cstheme="minorBidi"/>
          <w:kern w:val="2"/>
          <w:lang w:val="en-US" w:eastAsia="en-US"/>
          <w14:ligatures w14:val="standardContextual"/>
        </w:rPr>
      </w:pPr>
      <w:hyperlink w:anchor="_Toc223591092" w:history="1">
        <w:r w:rsidR="00330860" w:rsidRPr="00451799">
          <w:rPr>
            <w:rStyle w:val="a3"/>
          </w:rPr>
          <w:t>Внедрение ИИ-платформы GPTZATOR в НПФ «Профессиональный» стало ответом на вызовы, с которыми сталкиваются многие компании при работе с документами. Заявки в НПФ поступают не только в печатном, но также и в рукописном виде. Ранее, до старта проекта, операторы вручную просматривали сканы и переносили данные в «1С:Бухгалтерия». Процесс обработки заявок требовал больших трудозатрат и был подвержен ошибкам, что создавало риски для точности учета. Об этом CNews сообщили представители ГК Lad.</w:t>
        </w:r>
        <w:r w:rsidR="00330860">
          <w:rPr>
            <w:webHidden/>
          </w:rPr>
          <w:tab/>
        </w:r>
        <w:r w:rsidR="00330860">
          <w:rPr>
            <w:webHidden/>
          </w:rPr>
          <w:fldChar w:fldCharType="begin"/>
        </w:r>
        <w:r w:rsidR="00330860">
          <w:rPr>
            <w:webHidden/>
          </w:rPr>
          <w:instrText xml:space="preserve"> PAGEREF _Toc223591092 \h </w:instrText>
        </w:r>
        <w:r w:rsidR="00330860">
          <w:rPr>
            <w:webHidden/>
          </w:rPr>
        </w:r>
        <w:r w:rsidR="00330860">
          <w:rPr>
            <w:webHidden/>
          </w:rPr>
          <w:fldChar w:fldCharType="separate"/>
        </w:r>
        <w:r w:rsidR="00850ED7">
          <w:rPr>
            <w:webHidden/>
          </w:rPr>
          <w:t>14</w:t>
        </w:r>
        <w:r w:rsidR="00330860">
          <w:rPr>
            <w:webHidden/>
          </w:rPr>
          <w:fldChar w:fldCharType="end"/>
        </w:r>
      </w:hyperlink>
    </w:p>
    <w:p w14:paraId="53D8E3F7" w14:textId="1896F142"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093" w:history="1">
        <w:r w:rsidR="00330860" w:rsidRPr="00451799">
          <w:rPr>
            <w:rStyle w:val="a3"/>
            <w:noProof/>
            <w:lang w:val="en-US"/>
          </w:rPr>
          <w:t>Frank</w:t>
        </w:r>
        <w:r w:rsidR="00330860" w:rsidRPr="00451799">
          <w:rPr>
            <w:rStyle w:val="a3"/>
            <w:noProof/>
          </w:rPr>
          <w:t xml:space="preserve"> </w:t>
        </w:r>
        <w:r w:rsidR="00330860" w:rsidRPr="00451799">
          <w:rPr>
            <w:rStyle w:val="a3"/>
            <w:noProof/>
            <w:lang w:val="en-US"/>
          </w:rPr>
          <w:t>Media</w:t>
        </w:r>
        <w:r w:rsidR="00330860" w:rsidRPr="00451799">
          <w:rPr>
            <w:rStyle w:val="a3"/>
            <w:noProof/>
          </w:rPr>
          <w:t>, 04.03.2026, Куратор НПФ в Минфине Наталия Каменская перешла в «Сбер»</w:t>
        </w:r>
        <w:r w:rsidR="00330860">
          <w:rPr>
            <w:noProof/>
            <w:webHidden/>
          </w:rPr>
          <w:tab/>
        </w:r>
        <w:r w:rsidR="00330860">
          <w:rPr>
            <w:noProof/>
            <w:webHidden/>
          </w:rPr>
          <w:fldChar w:fldCharType="begin"/>
        </w:r>
        <w:r w:rsidR="00330860">
          <w:rPr>
            <w:noProof/>
            <w:webHidden/>
          </w:rPr>
          <w:instrText xml:space="preserve"> PAGEREF _Toc223591093 \h </w:instrText>
        </w:r>
        <w:r w:rsidR="00330860">
          <w:rPr>
            <w:noProof/>
            <w:webHidden/>
          </w:rPr>
        </w:r>
        <w:r w:rsidR="00330860">
          <w:rPr>
            <w:noProof/>
            <w:webHidden/>
          </w:rPr>
          <w:fldChar w:fldCharType="separate"/>
        </w:r>
        <w:r w:rsidR="00850ED7">
          <w:rPr>
            <w:noProof/>
            <w:webHidden/>
          </w:rPr>
          <w:t>15</w:t>
        </w:r>
        <w:r w:rsidR="00330860">
          <w:rPr>
            <w:noProof/>
            <w:webHidden/>
          </w:rPr>
          <w:fldChar w:fldCharType="end"/>
        </w:r>
      </w:hyperlink>
    </w:p>
    <w:p w14:paraId="42AE55B2" w14:textId="5E8E5560" w:rsidR="00330860" w:rsidRDefault="000D71EB">
      <w:pPr>
        <w:pStyle w:val="31"/>
        <w:rPr>
          <w:rFonts w:asciiTheme="minorHAnsi" w:eastAsiaTheme="minorEastAsia" w:hAnsiTheme="minorHAnsi" w:cstheme="minorBidi"/>
          <w:kern w:val="2"/>
          <w:lang w:val="en-US" w:eastAsia="en-US"/>
          <w14:ligatures w14:val="standardContextual"/>
        </w:rPr>
      </w:pPr>
      <w:hyperlink w:anchor="_Toc223591094" w:history="1">
        <w:r w:rsidR="00330860" w:rsidRPr="00451799">
          <w:rPr>
            <w:rStyle w:val="a3"/>
          </w:rPr>
          <w:t>Возглавлявшая отдел регулирования негосударственных пенсионных фондов (НПФ) в Минфине Наталия Каменская перешла на работу в «Сбер НПФ». Об этом стало известно на «Форуме лидеров управления активами» «Эксперт РА», где Каменская публично выступила в новом статусе, передает корреспондент Frank Media.</w:t>
        </w:r>
        <w:r w:rsidR="00330860">
          <w:rPr>
            <w:webHidden/>
          </w:rPr>
          <w:tab/>
        </w:r>
        <w:r w:rsidR="00330860">
          <w:rPr>
            <w:webHidden/>
          </w:rPr>
          <w:fldChar w:fldCharType="begin"/>
        </w:r>
        <w:r w:rsidR="00330860">
          <w:rPr>
            <w:webHidden/>
          </w:rPr>
          <w:instrText xml:space="preserve"> PAGEREF _Toc223591094 \h </w:instrText>
        </w:r>
        <w:r w:rsidR="00330860">
          <w:rPr>
            <w:webHidden/>
          </w:rPr>
        </w:r>
        <w:r w:rsidR="00330860">
          <w:rPr>
            <w:webHidden/>
          </w:rPr>
          <w:fldChar w:fldCharType="separate"/>
        </w:r>
        <w:r w:rsidR="00850ED7">
          <w:rPr>
            <w:webHidden/>
          </w:rPr>
          <w:t>15</w:t>
        </w:r>
        <w:r w:rsidR="00330860">
          <w:rPr>
            <w:webHidden/>
          </w:rPr>
          <w:fldChar w:fldCharType="end"/>
        </w:r>
      </w:hyperlink>
    </w:p>
    <w:p w14:paraId="351A54C6" w14:textId="3D00C0F2"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095" w:history="1">
        <w:r w:rsidR="00330860" w:rsidRPr="00451799">
          <w:rPr>
            <w:rStyle w:val="a3"/>
            <w:noProof/>
          </w:rPr>
          <w:t>Программа долгосрочных сбережений</w:t>
        </w:r>
        <w:r w:rsidR="00330860">
          <w:rPr>
            <w:noProof/>
            <w:webHidden/>
          </w:rPr>
          <w:tab/>
        </w:r>
        <w:r w:rsidR="00330860">
          <w:rPr>
            <w:noProof/>
            <w:webHidden/>
          </w:rPr>
          <w:fldChar w:fldCharType="begin"/>
        </w:r>
        <w:r w:rsidR="00330860">
          <w:rPr>
            <w:noProof/>
            <w:webHidden/>
          </w:rPr>
          <w:instrText xml:space="preserve"> PAGEREF _Toc223591095 \h </w:instrText>
        </w:r>
        <w:r w:rsidR="00330860">
          <w:rPr>
            <w:noProof/>
            <w:webHidden/>
          </w:rPr>
        </w:r>
        <w:r w:rsidR="00330860">
          <w:rPr>
            <w:noProof/>
            <w:webHidden/>
          </w:rPr>
          <w:fldChar w:fldCharType="separate"/>
        </w:r>
        <w:r w:rsidR="00850ED7">
          <w:rPr>
            <w:noProof/>
            <w:webHidden/>
          </w:rPr>
          <w:t>16</w:t>
        </w:r>
        <w:r w:rsidR="00330860">
          <w:rPr>
            <w:noProof/>
            <w:webHidden/>
          </w:rPr>
          <w:fldChar w:fldCharType="end"/>
        </w:r>
      </w:hyperlink>
    </w:p>
    <w:p w14:paraId="4E32F1DE" w14:textId="78AED1E7"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096" w:history="1">
        <w:r w:rsidR="00330860" w:rsidRPr="00451799">
          <w:rPr>
            <w:rStyle w:val="a3"/>
            <w:noProof/>
          </w:rPr>
          <w:t>Финмаркет, 04.03.2026, ЦБ РФ прогнозирует увеличение объема вложений в ПДС к концу текущего года до 1,5 трлн руб.</w:t>
        </w:r>
        <w:r w:rsidR="00330860">
          <w:rPr>
            <w:noProof/>
            <w:webHidden/>
          </w:rPr>
          <w:tab/>
        </w:r>
        <w:r w:rsidR="00330860">
          <w:rPr>
            <w:noProof/>
            <w:webHidden/>
          </w:rPr>
          <w:fldChar w:fldCharType="begin"/>
        </w:r>
        <w:r w:rsidR="00330860">
          <w:rPr>
            <w:noProof/>
            <w:webHidden/>
          </w:rPr>
          <w:instrText xml:space="preserve"> PAGEREF _Toc223591096 \h </w:instrText>
        </w:r>
        <w:r w:rsidR="00330860">
          <w:rPr>
            <w:noProof/>
            <w:webHidden/>
          </w:rPr>
        </w:r>
        <w:r w:rsidR="00330860">
          <w:rPr>
            <w:noProof/>
            <w:webHidden/>
          </w:rPr>
          <w:fldChar w:fldCharType="separate"/>
        </w:r>
        <w:r w:rsidR="00850ED7">
          <w:rPr>
            <w:noProof/>
            <w:webHidden/>
          </w:rPr>
          <w:t>16</w:t>
        </w:r>
        <w:r w:rsidR="00330860">
          <w:rPr>
            <w:noProof/>
            <w:webHidden/>
          </w:rPr>
          <w:fldChar w:fldCharType="end"/>
        </w:r>
      </w:hyperlink>
    </w:p>
    <w:p w14:paraId="1375A57F" w14:textId="4EAE6702" w:rsidR="00330860" w:rsidRDefault="000D71EB">
      <w:pPr>
        <w:pStyle w:val="31"/>
        <w:rPr>
          <w:rFonts w:asciiTheme="minorHAnsi" w:eastAsiaTheme="minorEastAsia" w:hAnsiTheme="minorHAnsi" w:cstheme="minorBidi"/>
          <w:kern w:val="2"/>
          <w:lang w:val="en-US" w:eastAsia="en-US"/>
          <w14:ligatures w14:val="standardContextual"/>
        </w:rPr>
      </w:pPr>
      <w:hyperlink w:anchor="_Toc223591097" w:history="1">
        <w:r w:rsidR="00330860" w:rsidRPr="00451799">
          <w:rPr>
            <w:rStyle w:val="a3"/>
          </w:rPr>
          <w:t>Банк России ожидает, что по итогам 2026 года объем вложений в рамках программы долгосрочных сбережений (ПДС) может достигнуть 1,5 трлн рублей, сообщила директор департамента инвестиционных финансовых посредников ЦБ Ольга Шишлянникова.</w:t>
        </w:r>
        <w:r w:rsidR="00330860">
          <w:rPr>
            <w:webHidden/>
          </w:rPr>
          <w:tab/>
        </w:r>
        <w:r w:rsidR="00330860">
          <w:rPr>
            <w:webHidden/>
          </w:rPr>
          <w:fldChar w:fldCharType="begin"/>
        </w:r>
        <w:r w:rsidR="00330860">
          <w:rPr>
            <w:webHidden/>
          </w:rPr>
          <w:instrText xml:space="preserve"> PAGEREF _Toc223591097 \h </w:instrText>
        </w:r>
        <w:r w:rsidR="00330860">
          <w:rPr>
            <w:webHidden/>
          </w:rPr>
        </w:r>
        <w:r w:rsidR="00330860">
          <w:rPr>
            <w:webHidden/>
          </w:rPr>
          <w:fldChar w:fldCharType="separate"/>
        </w:r>
        <w:r w:rsidR="00850ED7">
          <w:rPr>
            <w:webHidden/>
          </w:rPr>
          <w:t>16</w:t>
        </w:r>
        <w:r w:rsidR="00330860">
          <w:rPr>
            <w:webHidden/>
          </w:rPr>
          <w:fldChar w:fldCharType="end"/>
        </w:r>
      </w:hyperlink>
    </w:p>
    <w:p w14:paraId="235AB66E" w14:textId="42DAEC9E"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098" w:history="1">
        <w:r w:rsidR="00330860" w:rsidRPr="00451799">
          <w:rPr>
            <w:rStyle w:val="a3"/>
            <w:noProof/>
          </w:rPr>
          <w:t>РИА Новости, 04.03.2026, ЦБ РФ драйвером роста программы долгосрочных сбережений видит переориентацию на молодежь</w:t>
        </w:r>
        <w:r w:rsidR="00330860">
          <w:rPr>
            <w:noProof/>
            <w:webHidden/>
          </w:rPr>
          <w:tab/>
        </w:r>
        <w:r w:rsidR="00330860">
          <w:rPr>
            <w:noProof/>
            <w:webHidden/>
          </w:rPr>
          <w:fldChar w:fldCharType="begin"/>
        </w:r>
        <w:r w:rsidR="00330860">
          <w:rPr>
            <w:noProof/>
            <w:webHidden/>
          </w:rPr>
          <w:instrText xml:space="preserve"> PAGEREF _Toc223591098 \h </w:instrText>
        </w:r>
        <w:r w:rsidR="00330860">
          <w:rPr>
            <w:noProof/>
            <w:webHidden/>
          </w:rPr>
        </w:r>
        <w:r w:rsidR="00330860">
          <w:rPr>
            <w:noProof/>
            <w:webHidden/>
          </w:rPr>
          <w:fldChar w:fldCharType="separate"/>
        </w:r>
        <w:r w:rsidR="00850ED7">
          <w:rPr>
            <w:noProof/>
            <w:webHidden/>
          </w:rPr>
          <w:t>17</w:t>
        </w:r>
        <w:r w:rsidR="00330860">
          <w:rPr>
            <w:noProof/>
            <w:webHidden/>
          </w:rPr>
          <w:fldChar w:fldCharType="end"/>
        </w:r>
      </w:hyperlink>
    </w:p>
    <w:p w14:paraId="6A1563C3" w14:textId="157BAD39" w:rsidR="00330860" w:rsidRDefault="000D71EB">
      <w:pPr>
        <w:pStyle w:val="31"/>
        <w:rPr>
          <w:rFonts w:asciiTheme="minorHAnsi" w:eastAsiaTheme="minorEastAsia" w:hAnsiTheme="minorHAnsi" w:cstheme="minorBidi"/>
          <w:kern w:val="2"/>
          <w:lang w:val="en-US" w:eastAsia="en-US"/>
          <w14:ligatures w14:val="standardContextual"/>
        </w:rPr>
      </w:pPr>
      <w:hyperlink w:anchor="_Toc223591099" w:history="1">
        <w:r w:rsidR="00330860" w:rsidRPr="00451799">
          <w:rPr>
            <w:rStyle w:val="a3"/>
          </w:rPr>
          <w:t>Банк России драйвером роста программы долгосрочных сбережений (ПДС) видит переориентацию инструмента на молодежь и на лиц среднего возраста, сообщила директор департамента инвестиционных финансовых посредников регулятора Ольга Шишлянникова.</w:t>
        </w:r>
        <w:r w:rsidR="00330860">
          <w:rPr>
            <w:webHidden/>
          </w:rPr>
          <w:tab/>
        </w:r>
        <w:r w:rsidR="00330860">
          <w:rPr>
            <w:webHidden/>
          </w:rPr>
          <w:fldChar w:fldCharType="begin"/>
        </w:r>
        <w:r w:rsidR="00330860">
          <w:rPr>
            <w:webHidden/>
          </w:rPr>
          <w:instrText xml:space="preserve"> PAGEREF _Toc223591099 \h </w:instrText>
        </w:r>
        <w:r w:rsidR="00330860">
          <w:rPr>
            <w:webHidden/>
          </w:rPr>
        </w:r>
        <w:r w:rsidR="00330860">
          <w:rPr>
            <w:webHidden/>
          </w:rPr>
          <w:fldChar w:fldCharType="separate"/>
        </w:r>
        <w:r w:rsidR="00850ED7">
          <w:rPr>
            <w:webHidden/>
          </w:rPr>
          <w:t>17</w:t>
        </w:r>
        <w:r w:rsidR="00330860">
          <w:rPr>
            <w:webHidden/>
          </w:rPr>
          <w:fldChar w:fldCharType="end"/>
        </w:r>
      </w:hyperlink>
    </w:p>
    <w:p w14:paraId="51A12CD2" w14:textId="5A9C432F"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00" w:history="1">
        <w:r w:rsidR="00330860" w:rsidRPr="00451799">
          <w:rPr>
            <w:rStyle w:val="a3"/>
            <w:noProof/>
          </w:rPr>
          <w:t xml:space="preserve">ТАСС, 04.03.2026, </w:t>
        </w:r>
        <w:r w:rsidR="00260D24" w:rsidRPr="00260D24">
          <w:rPr>
            <w:rStyle w:val="a3"/>
            <w:noProof/>
          </w:rPr>
          <w:t>ЦБ видит слабый интерес молодежи к программе долгосрочных сбережений</w:t>
        </w:r>
        <w:r w:rsidR="00330860">
          <w:rPr>
            <w:noProof/>
            <w:webHidden/>
          </w:rPr>
          <w:tab/>
        </w:r>
        <w:r w:rsidR="00330860">
          <w:rPr>
            <w:noProof/>
            <w:webHidden/>
          </w:rPr>
          <w:fldChar w:fldCharType="begin"/>
        </w:r>
        <w:r w:rsidR="00330860">
          <w:rPr>
            <w:noProof/>
            <w:webHidden/>
          </w:rPr>
          <w:instrText xml:space="preserve"> PAGEREF _Toc223591100 \h </w:instrText>
        </w:r>
        <w:r w:rsidR="00330860">
          <w:rPr>
            <w:noProof/>
            <w:webHidden/>
          </w:rPr>
        </w:r>
        <w:r w:rsidR="00330860">
          <w:rPr>
            <w:noProof/>
            <w:webHidden/>
          </w:rPr>
          <w:fldChar w:fldCharType="separate"/>
        </w:r>
        <w:r w:rsidR="00850ED7">
          <w:rPr>
            <w:noProof/>
            <w:webHidden/>
          </w:rPr>
          <w:t>18</w:t>
        </w:r>
        <w:r w:rsidR="00330860">
          <w:rPr>
            <w:noProof/>
            <w:webHidden/>
          </w:rPr>
          <w:fldChar w:fldCharType="end"/>
        </w:r>
      </w:hyperlink>
    </w:p>
    <w:p w14:paraId="2F414D3B" w14:textId="63E237C2" w:rsidR="00330860" w:rsidRDefault="000D71EB">
      <w:pPr>
        <w:pStyle w:val="31"/>
        <w:rPr>
          <w:rFonts w:asciiTheme="minorHAnsi" w:eastAsiaTheme="minorEastAsia" w:hAnsiTheme="minorHAnsi" w:cstheme="minorBidi"/>
          <w:kern w:val="2"/>
          <w:lang w:val="en-US" w:eastAsia="en-US"/>
          <w14:ligatures w14:val="standardContextual"/>
        </w:rPr>
      </w:pPr>
      <w:hyperlink w:anchor="_Toc223591101" w:history="1">
        <w:r w:rsidR="00330860" w:rsidRPr="00451799">
          <w:rPr>
            <w:rStyle w:val="a3"/>
          </w:rPr>
          <w:t>Банк России видит, что рассчитанная на молодежь и людей среднего возраста программа долгосрочных сбережений (ПДС) пользуется большей популярностью у лиц предпенсионного и пенсионного возраста в силу тех льгот, которые государство дает по этим инструментам. Об этом в рамках II форума лидеров рынка управления активами, организованного рейтинговым агентством «Эксперт РА», заявила директор департамента инвестиционных финансовых посредников Банка России Ольга Шишлянникова.</w:t>
        </w:r>
        <w:r w:rsidR="00330860">
          <w:rPr>
            <w:webHidden/>
          </w:rPr>
          <w:tab/>
        </w:r>
        <w:r w:rsidR="00330860">
          <w:rPr>
            <w:webHidden/>
          </w:rPr>
          <w:fldChar w:fldCharType="begin"/>
        </w:r>
        <w:r w:rsidR="00330860">
          <w:rPr>
            <w:webHidden/>
          </w:rPr>
          <w:instrText xml:space="preserve"> PAGEREF _Toc223591101 \h </w:instrText>
        </w:r>
        <w:r w:rsidR="00330860">
          <w:rPr>
            <w:webHidden/>
          </w:rPr>
        </w:r>
        <w:r w:rsidR="00330860">
          <w:rPr>
            <w:webHidden/>
          </w:rPr>
          <w:fldChar w:fldCharType="separate"/>
        </w:r>
        <w:r w:rsidR="00850ED7">
          <w:rPr>
            <w:webHidden/>
          </w:rPr>
          <w:t>18</w:t>
        </w:r>
        <w:r w:rsidR="00330860">
          <w:rPr>
            <w:webHidden/>
          </w:rPr>
          <w:fldChar w:fldCharType="end"/>
        </w:r>
      </w:hyperlink>
    </w:p>
    <w:p w14:paraId="773C9B36" w14:textId="2ACA7DA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02" w:history="1">
        <w:r w:rsidR="00330860" w:rsidRPr="00451799">
          <w:rPr>
            <w:rStyle w:val="a3"/>
            <w:noProof/>
          </w:rPr>
          <w:t>РБК Инвестиции, 04.03.2026, В ЦБ выразили недовольство слабым интересом молодежи к программе долгосрочных сбережений</w:t>
        </w:r>
        <w:r w:rsidR="00330860">
          <w:rPr>
            <w:noProof/>
            <w:webHidden/>
          </w:rPr>
          <w:tab/>
        </w:r>
        <w:r w:rsidR="00330860">
          <w:rPr>
            <w:noProof/>
            <w:webHidden/>
          </w:rPr>
          <w:fldChar w:fldCharType="begin"/>
        </w:r>
        <w:r w:rsidR="00330860">
          <w:rPr>
            <w:noProof/>
            <w:webHidden/>
          </w:rPr>
          <w:instrText xml:space="preserve"> PAGEREF _Toc223591102 \h </w:instrText>
        </w:r>
        <w:r w:rsidR="00330860">
          <w:rPr>
            <w:noProof/>
            <w:webHidden/>
          </w:rPr>
        </w:r>
        <w:r w:rsidR="00330860">
          <w:rPr>
            <w:noProof/>
            <w:webHidden/>
          </w:rPr>
          <w:fldChar w:fldCharType="separate"/>
        </w:r>
        <w:r w:rsidR="00850ED7">
          <w:rPr>
            <w:noProof/>
            <w:webHidden/>
          </w:rPr>
          <w:t>19</w:t>
        </w:r>
        <w:r w:rsidR="00330860">
          <w:rPr>
            <w:noProof/>
            <w:webHidden/>
          </w:rPr>
          <w:fldChar w:fldCharType="end"/>
        </w:r>
      </w:hyperlink>
    </w:p>
    <w:p w14:paraId="6B1B4B18" w14:textId="5FDDDBE7" w:rsidR="00330860" w:rsidRDefault="000D71EB">
      <w:pPr>
        <w:pStyle w:val="31"/>
        <w:rPr>
          <w:rFonts w:asciiTheme="minorHAnsi" w:eastAsiaTheme="minorEastAsia" w:hAnsiTheme="minorHAnsi" w:cstheme="minorBidi"/>
          <w:kern w:val="2"/>
          <w:lang w:val="en-US" w:eastAsia="en-US"/>
          <w14:ligatures w14:val="standardContextual"/>
        </w:rPr>
      </w:pPr>
      <w:hyperlink w:anchor="_Toc223591103" w:history="1">
        <w:r w:rsidR="00330860" w:rsidRPr="00451799">
          <w:rPr>
            <w:rStyle w:val="a3"/>
          </w:rPr>
          <w:t>Программа долгосрочных сбережений, стартовавшая в 2024 году, оказалась более популярна среди людей старшего возраста, что «расстраивает» ЦБ. Регулятор хочет привлечь более молодую аудиторию и готовит для этого поправки.</w:t>
        </w:r>
        <w:r w:rsidR="00330860">
          <w:rPr>
            <w:webHidden/>
          </w:rPr>
          <w:tab/>
        </w:r>
        <w:r w:rsidR="00330860">
          <w:rPr>
            <w:webHidden/>
          </w:rPr>
          <w:fldChar w:fldCharType="begin"/>
        </w:r>
        <w:r w:rsidR="00330860">
          <w:rPr>
            <w:webHidden/>
          </w:rPr>
          <w:instrText xml:space="preserve"> PAGEREF _Toc223591103 \h </w:instrText>
        </w:r>
        <w:r w:rsidR="00330860">
          <w:rPr>
            <w:webHidden/>
          </w:rPr>
        </w:r>
        <w:r w:rsidR="00330860">
          <w:rPr>
            <w:webHidden/>
          </w:rPr>
          <w:fldChar w:fldCharType="separate"/>
        </w:r>
        <w:r w:rsidR="00850ED7">
          <w:rPr>
            <w:webHidden/>
          </w:rPr>
          <w:t>19</w:t>
        </w:r>
        <w:r w:rsidR="00330860">
          <w:rPr>
            <w:webHidden/>
          </w:rPr>
          <w:fldChar w:fldCharType="end"/>
        </w:r>
      </w:hyperlink>
    </w:p>
    <w:p w14:paraId="111CC7E4" w14:textId="006FDE6C"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04" w:history="1">
        <w:r w:rsidR="00330860" w:rsidRPr="00451799">
          <w:rPr>
            <w:rStyle w:val="a3"/>
            <w:noProof/>
          </w:rPr>
          <w:t>РБК Инвестиции, 04.03.2026, ЦБ поддержал инициативу Минфина по увеличению срока вывода средств с ПДС: это коснется пенсионеров и предпенсионеров</w:t>
        </w:r>
        <w:r w:rsidR="00330860">
          <w:rPr>
            <w:noProof/>
            <w:webHidden/>
          </w:rPr>
          <w:tab/>
        </w:r>
        <w:r w:rsidR="00330860">
          <w:rPr>
            <w:noProof/>
            <w:webHidden/>
          </w:rPr>
          <w:fldChar w:fldCharType="begin"/>
        </w:r>
        <w:r w:rsidR="00330860">
          <w:rPr>
            <w:noProof/>
            <w:webHidden/>
          </w:rPr>
          <w:instrText xml:space="preserve"> PAGEREF _Toc223591104 \h </w:instrText>
        </w:r>
        <w:r w:rsidR="00330860">
          <w:rPr>
            <w:noProof/>
            <w:webHidden/>
          </w:rPr>
        </w:r>
        <w:r w:rsidR="00330860">
          <w:rPr>
            <w:noProof/>
            <w:webHidden/>
          </w:rPr>
          <w:fldChar w:fldCharType="separate"/>
        </w:r>
        <w:r w:rsidR="00850ED7">
          <w:rPr>
            <w:noProof/>
            <w:webHidden/>
          </w:rPr>
          <w:t>21</w:t>
        </w:r>
        <w:r w:rsidR="00330860">
          <w:rPr>
            <w:noProof/>
            <w:webHidden/>
          </w:rPr>
          <w:fldChar w:fldCharType="end"/>
        </w:r>
      </w:hyperlink>
    </w:p>
    <w:p w14:paraId="182D2629" w14:textId="4F0A3E7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05" w:history="1">
        <w:r w:rsidR="00330860" w:rsidRPr="00451799">
          <w:rPr>
            <w:rStyle w:val="a3"/>
          </w:rPr>
          <w:t>Ранее в Минфине отмечали, что намерены увеличить срок снятия средств софинансирования ПДС до 5 лет, чтобы остановить практику «быстрых денег» и вернуть ей первоначальный смысл — долгосрочное инвестирование</w:t>
        </w:r>
        <w:r w:rsidR="00330860">
          <w:rPr>
            <w:webHidden/>
          </w:rPr>
          <w:tab/>
        </w:r>
        <w:r w:rsidR="00330860">
          <w:rPr>
            <w:webHidden/>
          </w:rPr>
          <w:fldChar w:fldCharType="begin"/>
        </w:r>
        <w:r w:rsidR="00330860">
          <w:rPr>
            <w:webHidden/>
          </w:rPr>
          <w:instrText xml:space="preserve"> PAGEREF _Toc223591105 \h </w:instrText>
        </w:r>
        <w:r w:rsidR="00330860">
          <w:rPr>
            <w:webHidden/>
          </w:rPr>
        </w:r>
        <w:r w:rsidR="00330860">
          <w:rPr>
            <w:webHidden/>
          </w:rPr>
          <w:fldChar w:fldCharType="separate"/>
        </w:r>
        <w:r w:rsidR="00850ED7">
          <w:rPr>
            <w:webHidden/>
          </w:rPr>
          <w:t>21</w:t>
        </w:r>
        <w:r w:rsidR="00330860">
          <w:rPr>
            <w:webHidden/>
          </w:rPr>
          <w:fldChar w:fldCharType="end"/>
        </w:r>
      </w:hyperlink>
    </w:p>
    <w:p w14:paraId="171DAC71" w14:textId="1337056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06" w:history="1">
        <w:r w:rsidR="00330860" w:rsidRPr="00451799">
          <w:rPr>
            <w:rStyle w:val="a3"/>
            <w:noProof/>
          </w:rPr>
          <w:t>РБК Инвестиции, 04.03.2026, НПФ рассказали, как улучшить программу долгосрочных сбережений россиян</w:t>
        </w:r>
        <w:r w:rsidR="00330860">
          <w:rPr>
            <w:noProof/>
            <w:webHidden/>
          </w:rPr>
          <w:tab/>
        </w:r>
        <w:r w:rsidR="00330860">
          <w:rPr>
            <w:noProof/>
            <w:webHidden/>
          </w:rPr>
          <w:fldChar w:fldCharType="begin"/>
        </w:r>
        <w:r w:rsidR="00330860">
          <w:rPr>
            <w:noProof/>
            <w:webHidden/>
          </w:rPr>
          <w:instrText xml:space="preserve"> PAGEREF _Toc223591106 \h </w:instrText>
        </w:r>
        <w:r w:rsidR="00330860">
          <w:rPr>
            <w:noProof/>
            <w:webHidden/>
          </w:rPr>
        </w:r>
        <w:r w:rsidR="00330860">
          <w:rPr>
            <w:noProof/>
            <w:webHidden/>
          </w:rPr>
          <w:fldChar w:fldCharType="separate"/>
        </w:r>
        <w:r w:rsidR="00850ED7">
          <w:rPr>
            <w:noProof/>
            <w:webHidden/>
          </w:rPr>
          <w:t>22</w:t>
        </w:r>
        <w:r w:rsidR="00330860">
          <w:rPr>
            <w:noProof/>
            <w:webHidden/>
          </w:rPr>
          <w:fldChar w:fldCharType="end"/>
        </w:r>
      </w:hyperlink>
    </w:p>
    <w:p w14:paraId="686D31B5" w14:textId="0D32B997" w:rsidR="00330860" w:rsidRDefault="000D71EB">
      <w:pPr>
        <w:pStyle w:val="31"/>
        <w:rPr>
          <w:rFonts w:asciiTheme="minorHAnsi" w:eastAsiaTheme="minorEastAsia" w:hAnsiTheme="minorHAnsi" w:cstheme="minorBidi"/>
          <w:kern w:val="2"/>
          <w:lang w:val="en-US" w:eastAsia="en-US"/>
          <w14:ligatures w14:val="standardContextual"/>
        </w:rPr>
      </w:pPr>
      <w:hyperlink w:anchor="_Toc223591107" w:history="1">
        <w:r w:rsidR="00330860" w:rsidRPr="00451799">
          <w:rPr>
            <w:rStyle w:val="a3"/>
          </w:rPr>
          <w:t>Программа долгосрочных сбережений стартовала с начала 2024 года. Однако существующие условия и параметры программы требуют донастройки, считают участники пенсионного рынка.</w:t>
        </w:r>
        <w:r w:rsidR="00330860">
          <w:rPr>
            <w:webHidden/>
          </w:rPr>
          <w:tab/>
        </w:r>
        <w:r w:rsidR="00330860">
          <w:rPr>
            <w:webHidden/>
          </w:rPr>
          <w:fldChar w:fldCharType="begin"/>
        </w:r>
        <w:r w:rsidR="00330860">
          <w:rPr>
            <w:webHidden/>
          </w:rPr>
          <w:instrText xml:space="preserve"> PAGEREF _Toc223591107 \h </w:instrText>
        </w:r>
        <w:r w:rsidR="00330860">
          <w:rPr>
            <w:webHidden/>
          </w:rPr>
        </w:r>
        <w:r w:rsidR="00330860">
          <w:rPr>
            <w:webHidden/>
          </w:rPr>
          <w:fldChar w:fldCharType="separate"/>
        </w:r>
        <w:r w:rsidR="00850ED7">
          <w:rPr>
            <w:webHidden/>
          </w:rPr>
          <w:t>22</w:t>
        </w:r>
        <w:r w:rsidR="00330860">
          <w:rPr>
            <w:webHidden/>
          </w:rPr>
          <w:fldChar w:fldCharType="end"/>
        </w:r>
      </w:hyperlink>
    </w:p>
    <w:p w14:paraId="4018D19C" w14:textId="09AA4C41"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08" w:history="1">
        <w:r w:rsidR="00330860" w:rsidRPr="00451799">
          <w:rPr>
            <w:rStyle w:val="a3"/>
            <w:noProof/>
          </w:rPr>
          <w:t>Эксперт Online, 04.03.2026, В ЦБ отметили слабый интерес молодежи к программе долгосрочных сбережений</w:t>
        </w:r>
        <w:r w:rsidR="00330860">
          <w:rPr>
            <w:noProof/>
            <w:webHidden/>
          </w:rPr>
          <w:tab/>
        </w:r>
        <w:r w:rsidR="00330860">
          <w:rPr>
            <w:noProof/>
            <w:webHidden/>
          </w:rPr>
          <w:fldChar w:fldCharType="begin"/>
        </w:r>
        <w:r w:rsidR="00330860">
          <w:rPr>
            <w:noProof/>
            <w:webHidden/>
          </w:rPr>
          <w:instrText xml:space="preserve"> PAGEREF _Toc223591108 \h </w:instrText>
        </w:r>
        <w:r w:rsidR="00330860">
          <w:rPr>
            <w:noProof/>
            <w:webHidden/>
          </w:rPr>
        </w:r>
        <w:r w:rsidR="00330860">
          <w:rPr>
            <w:noProof/>
            <w:webHidden/>
          </w:rPr>
          <w:fldChar w:fldCharType="separate"/>
        </w:r>
        <w:r w:rsidR="00850ED7">
          <w:rPr>
            <w:noProof/>
            <w:webHidden/>
          </w:rPr>
          <w:t>25</w:t>
        </w:r>
        <w:r w:rsidR="00330860">
          <w:rPr>
            <w:noProof/>
            <w:webHidden/>
          </w:rPr>
          <w:fldChar w:fldCharType="end"/>
        </w:r>
      </w:hyperlink>
    </w:p>
    <w:p w14:paraId="132E13E2" w14:textId="4EBA5B67" w:rsidR="00330860" w:rsidRDefault="000D71EB">
      <w:pPr>
        <w:pStyle w:val="31"/>
        <w:rPr>
          <w:rFonts w:asciiTheme="minorHAnsi" w:eastAsiaTheme="minorEastAsia" w:hAnsiTheme="minorHAnsi" w:cstheme="minorBidi"/>
          <w:kern w:val="2"/>
          <w:lang w:val="en-US" w:eastAsia="en-US"/>
          <w14:ligatures w14:val="standardContextual"/>
        </w:rPr>
      </w:pPr>
      <w:hyperlink w:anchor="_Toc223591109" w:history="1">
        <w:r w:rsidR="00330860" w:rsidRPr="00451799">
          <w:rPr>
            <w:rStyle w:val="a3"/>
          </w:rPr>
          <w:t>Программа долгосрочных сбережений (ПДС), запущенная год назад и ориентированная в первую очередь на граждан среднего возраста и молодежь, пока не пользуется спросом у целевой аудитории. Об этом заявила директор департамента инвестиционных финансовых посредников Банка России Ольга Шишлянникова в ходе форума лидеров рынка управления активами, организованного рейтинговым агентством «Эксперт РА».</w:t>
        </w:r>
        <w:r w:rsidR="00330860">
          <w:rPr>
            <w:webHidden/>
          </w:rPr>
          <w:tab/>
        </w:r>
        <w:r w:rsidR="00330860">
          <w:rPr>
            <w:webHidden/>
          </w:rPr>
          <w:fldChar w:fldCharType="begin"/>
        </w:r>
        <w:r w:rsidR="00330860">
          <w:rPr>
            <w:webHidden/>
          </w:rPr>
          <w:instrText xml:space="preserve"> PAGEREF _Toc223591109 \h </w:instrText>
        </w:r>
        <w:r w:rsidR="00330860">
          <w:rPr>
            <w:webHidden/>
          </w:rPr>
        </w:r>
        <w:r w:rsidR="00330860">
          <w:rPr>
            <w:webHidden/>
          </w:rPr>
          <w:fldChar w:fldCharType="separate"/>
        </w:r>
        <w:r w:rsidR="00850ED7">
          <w:rPr>
            <w:webHidden/>
          </w:rPr>
          <w:t>25</w:t>
        </w:r>
        <w:r w:rsidR="00330860">
          <w:rPr>
            <w:webHidden/>
          </w:rPr>
          <w:fldChar w:fldCharType="end"/>
        </w:r>
      </w:hyperlink>
    </w:p>
    <w:p w14:paraId="69BD8025" w14:textId="7209E9C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10" w:history="1">
        <w:r w:rsidR="00330860" w:rsidRPr="00451799">
          <w:rPr>
            <w:rStyle w:val="a3"/>
            <w:noProof/>
          </w:rPr>
          <w:t>Конкурент, 05.03.2026, Центробанк обнулит надежды: пенсионеров оставят у разбитого корыта</w:t>
        </w:r>
        <w:r w:rsidR="00330860">
          <w:rPr>
            <w:noProof/>
            <w:webHidden/>
          </w:rPr>
          <w:tab/>
        </w:r>
        <w:r w:rsidR="00330860">
          <w:rPr>
            <w:noProof/>
            <w:webHidden/>
          </w:rPr>
          <w:fldChar w:fldCharType="begin"/>
        </w:r>
        <w:r w:rsidR="00330860">
          <w:rPr>
            <w:noProof/>
            <w:webHidden/>
          </w:rPr>
          <w:instrText xml:space="preserve"> PAGEREF _Toc223591110 \h </w:instrText>
        </w:r>
        <w:r w:rsidR="00330860">
          <w:rPr>
            <w:noProof/>
            <w:webHidden/>
          </w:rPr>
        </w:r>
        <w:r w:rsidR="00330860">
          <w:rPr>
            <w:noProof/>
            <w:webHidden/>
          </w:rPr>
          <w:fldChar w:fldCharType="separate"/>
        </w:r>
        <w:r w:rsidR="00850ED7">
          <w:rPr>
            <w:noProof/>
            <w:webHidden/>
          </w:rPr>
          <w:t>26</w:t>
        </w:r>
        <w:r w:rsidR="00330860">
          <w:rPr>
            <w:noProof/>
            <w:webHidden/>
          </w:rPr>
          <w:fldChar w:fldCharType="end"/>
        </w:r>
      </w:hyperlink>
    </w:p>
    <w:p w14:paraId="25E9EA61" w14:textId="740EEB0B" w:rsidR="00330860" w:rsidRDefault="000D71EB">
      <w:pPr>
        <w:pStyle w:val="31"/>
        <w:rPr>
          <w:rFonts w:asciiTheme="minorHAnsi" w:eastAsiaTheme="minorEastAsia" w:hAnsiTheme="minorHAnsi" w:cstheme="minorBidi"/>
          <w:kern w:val="2"/>
          <w:lang w:val="en-US" w:eastAsia="en-US"/>
          <w14:ligatures w14:val="standardContextual"/>
        </w:rPr>
      </w:pPr>
      <w:hyperlink w:anchor="_Toc223591111" w:history="1">
        <w:r w:rsidR="00330860" w:rsidRPr="00451799">
          <w:rPr>
            <w:rStyle w:val="a3"/>
          </w:rPr>
          <w:t>Программа долгосрочных сбережений (ПДС), изначально ориентированная на молодежь и людей среднего возраста, оказалась более востребованной среди россиян предпенсионного и пенсионного возраста. Об этом сообщила директор департамента инвестиционных финансовых посредников Банка России Ольга Шишлянникова.</w:t>
        </w:r>
        <w:r w:rsidR="00330860">
          <w:rPr>
            <w:webHidden/>
          </w:rPr>
          <w:tab/>
        </w:r>
        <w:r w:rsidR="00330860">
          <w:rPr>
            <w:webHidden/>
          </w:rPr>
          <w:fldChar w:fldCharType="begin"/>
        </w:r>
        <w:r w:rsidR="00330860">
          <w:rPr>
            <w:webHidden/>
          </w:rPr>
          <w:instrText xml:space="preserve"> PAGEREF _Toc223591111 \h </w:instrText>
        </w:r>
        <w:r w:rsidR="00330860">
          <w:rPr>
            <w:webHidden/>
          </w:rPr>
        </w:r>
        <w:r w:rsidR="00330860">
          <w:rPr>
            <w:webHidden/>
          </w:rPr>
          <w:fldChar w:fldCharType="separate"/>
        </w:r>
        <w:r w:rsidR="00850ED7">
          <w:rPr>
            <w:webHidden/>
          </w:rPr>
          <w:t>26</w:t>
        </w:r>
        <w:r w:rsidR="00330860">
          <w:rPr>
            <w:webHidden/>
          </w:rPr>
          <w:fldChar w:fldCharType="end"/>
        </w:r>
      </w:hyperlink>
    </w:p>
    <w:p w14:paraId="19D14409" w14:textId="14996EBB"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12" w:history="1">
        <w:r w:rsidR="00330860" w:rsidRPr="00451799">
          <w:rPr>
            <w:rStyle w:val="a3"/>
            <w:noProof/>
          </w:rPr>
          <w:t>Роскачество, 04.03.2026, Программа долгосрочных сбережений: плюсы и минусы</w:t>
        </w:r>
        <w:r w:rsidR="00330860">
          <w:rPr>
            <w:noProof/>
            <w:webHidden/>
          </w:rPr>
          <w:tab/>
        </w:r>
        <w:r w:rsidR="00330860">
          <w:rPr>
            <w:noProof/>
            <w:webHidden/>
          </w:rPr>
          <w:fldChar w:fldCharType="begin"/>
        </w:r>
        <w:r w:rsidR="00330860">
          <w:rPr>
            <w:noProof/>
            <w:webHidden/>
          </w:rPr>
          <w:instrText xml:space="preserve"> PAGEREF _Toc223591112 \h </w:instrText>
        </w:r>
        <w:r w:rsidR="00330860">
          <w:rPr>
            <w:noProof/>
            <w:webHidden/>
          </w:rPr>
        </w:r>
        <w:r w:rsidR="00330860">
          <w:rPr>
            <w:noProof/>
            <w:webHidden/>
          </w:rPr>
          <w:fldChar w:fldCharType="separate"/>
        </w:r>
        <w:r w:rsidR="00850ED7">
          <w:rPr>
            <w:noProof/>
            <w:webHidden/>
          </w:rPr>
          <w:t>27</w:t>
        </w:r>
        <w:r w:rsidR="00330860">
          <w:rPr>
            <w:noProof/>
            <w:webHidden/>
          </w:rPr>
          <w:fldChar w:fldCharType="end"/>
        </w:r>
      </w:hyperlink>
    </w:p>
    <w:p w14:paraId="0C2BDAF9" w14:textId="0CAE76EB" w:rsidR="00330860" w:rsidRDefault="000D71EB">
      <w:pPr>
        <w:pStyle w:val="31"/>
        <w:rPr>
          <w:rFonts w:asciiTheme="minorHAnsi" w:eastAsiaTheme="minorEastAsia" w:hAnsiTheme="minorHAnsi" w:cstheme="minorBidi"/>
          <w:kern w:val="2"/>
          <w:lang w:val="en-US" w:eastAsia="en-US"/>
          <w14:ligatures w14:val="standardContextual"/>
        </w:rPr>
      </w:pPr>
      <w:hyperlink w:anchor="_Toc223591113" w:history="1">
        <w:r w:rsidR="00330860" w:rsidRPr="00451799">
          <w:rPr>
            <w:rStyle w:val="a3"/>
          </w:rPr>
          <w:t>Программа долгосрочных сбережений (ПДС) стала одной из самых обсуждаемых финансовых инициатив последних лет. Мнения россиян разделились: одни видят в ней возможность сохранить и приумножить капитал, другие — очередную ловушку со стороны государства.</w:t>
        </w:r>
        <w:r w:rsidR="00330860">
          <w:rPr>
            <w:webHidden/>
          </w:rPr>
          <w:tab/>
        </w:r>
        <w:r w:rsidR="00330860">
          <w:rPr>
            <w:webHidden/>
          </w:rPr>
          <w:fldChar w:fldCharType="begin"/>
        </w:r>
        <w:r w:rsidR="00330860">
          <w:rPr>
            <w:webHidden/>
          </w:rPr>
          <w:instrText xml:space="preserve"> PAGEREF _Toc223591113 \h </w:instrText>
        </w:r>
        <w:r w:rsidR="00330860">
          <w:rPr>
            <w:webHidden/>
          </w:rPr>
        </w:r>
        <w:r w:rsidR="00330860">
          <w:rPr>
            <w:webHidden/>
          </w:rPr>
          <w:fldChar w:fldCharType="separate"/>
        </w:r>
        <w:r w:rsidR="00850ED7">
          <w:rPr>
            <w:webHidden/>
          </w:rPr>
          <w:t>27</w:t>
        </w:r>
        <w:r w:rsidR="00330860">
          <w:rPr>
            <w:webHidden/>
          </w:rPr>
          <w:fldChar w:fldCharType="end"/>
        </w:r>
      </w:hyperlink>
    </w:p>
    <w:p w14:paraId="097C43CC" w14:textId="65783258"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14" w:history="1">
        <w:r w:rsidR="00330860" w:rsidRPr="00451799">
          <w:rPr>
            <w:rStyle w:val="a3"/>
            <w:noProof/>
          </w:rPr>
          <w:t>Конкурент, 04.03.2026, «Будем развивать дальше». Силуанов пообещал денежное будущее всем, у кого есть сбережения</w:t>
        </w:r>
        <w:r w:rsidR="00330860">
          <w:rPr>
            <w:noProof/>
            <w:webHidden/>
          </w:rPr>
          <w:tab/>
        </w:r>
        <w:r w:rsidR="00330860">
          <w:rPr>
            <w:noProof/>
            <w:webHidden/>
          </w:rPr>
          <w:fldChar w:fldCharType="begin"/>
        </w:r>
        <w:r w:rsidR="00330860">
          <w:rPr>
            <w:noProof/>
            <w:webHidden/>
          </w:rPr>
          <w:instrText xml:space="preserve"> PAGEREF _Toc223591114 \h </w:instrText>
        </w:r>
        <w:r w:rsidR="00330860">
          <w:rPr>
            <w:noProof/>
            <w:webHidden/>
          </w:rPr>
        </w:r>
        <w:r w:rsidR="00330860">
          <w:rPr>
            <w:noProof/>
            <w:webHidden/>
          </w:rPr>
          <w:fldChar w:fldCharType="separate"/>
        </w:r>
        <w:r w:rsidR="00850ED7">
          <w:rPr>
            <w:noProof/>
            <w:webHidden/>
          </w:rPr>
          <w:t>28</w:t>
        </w:r>
        <w:r w:rsidR="00330860">
          <w:rPr>
            <w:noProof/>
            <w:webHidden/>
          </w:rPr>
          <w:fldChar w:fldCharType="end"/>
        </w:r>
      </w:hyperlink>
    </w:p>
    <w:p w14:paraId="7F41AB91" w14:textId="0C5F22E7" w:rsidR="00330860" w:rsidRDefault="000D71EB">
      <w:pPr>
        <w:pStyle w:val="31"/>
        <w:rPr>
          <w:rFonts w:asciiTheme="minorHAnsi" w:eastAsiaTheme="minorEastAsia" w:hAnsiTheme="minorHAnsi" w:cstheme="minorBidi"/>
          <w:kern w:val="2"/>
          <w:lang w:val="en-US" w:eastAsia="en-US"/>
          <w14:ligatures w14:val="standardContextual"/>
        </w:rPr>
      </w:pPr>
      <w:hyperlink w:anchor="_Toc223591115" w:history="1">
        <w:r w:rsidR="00330860" w:rsidRPr="00451799">
          <w:rPr>
            <w:rStyle w:val="a3"/>
          </w:rPr>
          <w:t>В Минфине довольны работой программы долгосрочных сбережений и намерены развивать ее и дальше. Об этом заявил глава ведомства Антон Силуанов. Министр отметил, что за два года россияне внесли порядка 800 млрд руб. в ПДС, и власти не собираются останавливаться на достигнутом.</w:t>
        </w:r>
        <w:r w:rsidR="00330860">
          <w:rPr>
            <w:webHidden/>
          </w:rPr>
          <w:tab/>
        </w:r>
        <w:r w:rsidR="00330860">
          <w:rPr>
            <w:webHidden/>
          </w:rPr>
          <w:fldChar w:fldCharType="begin"/>
        </w:r>
        <w:r w:rsidR="00330860">
          <w:rPr>
            <w:webHidden/>
          </w:rPr>
          <w:instrText xml:space="preserve"> PAGEREF _Toc223591115 \h </w:instrText>
        </w:r>
        <w:r w:rsidR="00330860">
          <w:rPr>
            <w:webHidden/>
          </w:rPr>
        </w:r>
        <w:r w:rsidR="00330860">
          <w:rPr>
            <w:webHidden/>
          </w:rPr>
          <w:fldChar w:fldCharType="separate"/>
        </w:r>
        <w:r w:rsidR="00850ED7">
          <w:rPr>
            <w:webHidden/>
          </w:rPr>
          <w:t>28</w:t>
        </w:r>
        <w:r w:rsidR="00330860">
          <w:rPr>
            <w:webHidden/>
          </w:rPr>
          <w:fldChar w:fldCharType="end"/>
        </w:r>
      </w:hyperlink>
    </w:p>
    <w:p w14:paraId="155FDE4D" w14:textId="5223D31B"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16" w:history="1">
        <w:r w:rsidR="00330860" w:rsidRPr="00451799">
          <w:rPr>
            <w:rStyle w:val="a3"/>
            <w:noProof/>
          </w:rPr>
          <w:t>PLUSWorld, 04.03.2026, Россиянки стали вдвое больше копить вдолгую</w:t>
        </w:r>
        <w:r w:rsidR="00330860">
          <w:rPr>
            <w:noProof/>
            <w:webHidden/>
          </w:rPr>
          <w:tab/>
        </w:r>
        <w:r w:rsidR="00330860">
          <w:rPr>
            <w:noProof/>
            <w:webHidden/>
          </w:rPr>
          <w:fldChar w:fldCharType="begin"/>
        </w:r>
        <w:r w:rsidR="00330860">
          <w:rPr>
            <w:noProof/>
            <w:webHidden/>
          </w:rPr>
          <w:instrText xml:space="preserve"> PAGEREF _Toc223591116 \h </w:instrText>
        </w:r>
        <w:r w:rsidR="00330860">
          <w:rPr>
            <w:noProof/>
            <w:webHidden/>
          </w:rPr>
        </w:r>
        <w:r w:rsidR="00330860">
          <w:rPr>
            <w:noProof/>
            <w:webHidden/>
          </w:rPr>
          <w:fldChar w:fldCharType="separate"/>
        </w:r>
        <w:r w:rsidR="00850ED7">
          <w:rPr>
            <w:noProof/>
            <w:webHidden/>
          </w:rPr>
          <w:t>29</w:t>
        </w:r>
        <w:r w:rsidR="00330860">
          <w:rPr>
            <w:noProof/>
            <w:webHidden/>
          </w:rPr>
          <w:fldChar w:fldCharType="end"/>
        </w:r>
      </w:hyperlink>
    </w:p>
    <w:p w14:paraId="19DFF6C8" w14:textId="4EE11CFA" w:rsidR="00330860" w:rsidRDefault="000D71EB">
      <w:pPr>
        <w:pStyle w:val="31"/>
        <w:rPr>
          <w:rFonts w:asciiTheme="minorHAnsi" w:eastAsiaTheme="minorEastAsia" w:hAnsiTheme="minorHAnsi" w:cstheme="minorBidi"/>
          <w:kern w:val="2"/>
          <w:lang w:val="en-US" w:eastAsia="en-US"/>
          <w14:ligatures w14:val="standardContextual"/>
        </w:rPr>
      </w:pPr>
      <w:hyperlink w:anchor="_Toc223591117" w:history="1">
        <w:r w:rsidR="00330860" w:rsidRPr="00451799">
          <w:rPr>
            <w:rStyle w:val="a3"/>
          </w:rPr>
          <w:t>По данным СберНПФ, в 2025 году российские женщины отложили 164 млрд рублей с программой долгосрочных сбережений (ПДС). Это в два раза больше, чем годом ранее. Сберегательницы на четверть увеличили среднюю сумму текущего взноса. При этом самыми бережливыми оказались жительницы Москвы, Подмосковья и Краснодарского края.</w:t>
        </w:r>
        <w:r w:rsidR="00330860">
          <w:rPr>
            <w:webHidden/>
          </w:rPr>
          <w:tab/>
        </w:r>
        <w:r w:rsidR="00330860">
          <w:rPr>
            <w:webHidden/>
          </w:rPr>
          <w:fldChar w:fldCharType="begin"/>
        </w:r>
        <w:r w:rsidR="00330860">
          <w:rPr>
            <w:webHidden/>
          </w:rPr>
          <w:instrText xml:space="preserve"> PAGEREF _Toc223591117 \h </w:instrText>
        </w:r>
        <w:r w:rsidR="00330860">
          <w:rPr>
            <w:webHidden/>
          </w:rPr>
        </w:r>
        <w:r w:rsidR="00330860">
          <w:rPr>
            <w:webHidden/>
          </w:rPr>
          <w:fldChar w:fldCharType="separate"/>
        </w:r>
        <w:r w:rsidR="00850ED7">
          <w:rPr>
            <w:webHidden/>
          </w:rPr>
          <w:t>29</w:t>
        </w:r>
        <w:r w:rsidR="00330860">
          <w:rPr>
            <w:webHidden/>
          </w:rPr>
          <w:fldChar w:fldCharType="end"/>
        </w:r>
      </w:hyperlink>
    </w:p>
    <w:p w14:paraId="400B2315" w14:textId="7B4D5351"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18" w:history="1">
        <w:r w:rsidR="00330860" w:rsidRPr="00451799">
          <w:rPr>
            <w:rStyle w:val="a3"/>
            <w:noProof/>
          </w:rPr>
          <w:t>Банковское дело, 04.03.2026, Москвички удвоили долгосрочные сбережения</w:t>
        </w:r>
        <w:r w:rsidR="00330860">
          <w:rPr>
            <w:noProof/>
            <w:webHidden/>
          </w:rPr>
          <w:tab/>
        </w:r>
        <w:r w:rsidR="00330860">
          <w:rPr>
            <w:noProof/>
            <w:webHidden/>
          </w:rPr>
          <w:fldChar w:fldCharType="begin"/>
        </w:r>
        <w:r w:rsidR="00330860">
          <w:rPr>
            <w:noProof/>
            <w:webHidden/>
          </w:rPr>
          <w:instrText xml:space="preserve"> PAGEREF _Toc223591118 \h </w:instrText>
        </w:r>
        <w:r w:rsidR="00330860">
          <w:rPr>
            <w:noProof/>
            <w:webHidden/>
          </w:rPr>
        </w:r>
        <w:r w:rsidR="00330860">
          <w:rPr>
            <w:noProof/>
            <w:webHidden/>
          </w:rPr>
          <w:fldChar w:fldCharType="separate"/>
        </w:r>
        <w:r w:rsidR="00850ED7">
          <w:rPr>
            <w:noProof/>
            <w:webHidden/>
          </w:rPr>
          <w:t>29</w:t>
        </w:r>
        <w:r w:rsidR="00330860">
          <w:rPr>
            <w:noProof/>
            <w:webHidden/>
          </w:rPr>
          <w:fldChar w:fldCharType="end"/>
        </w:r>
      </w:hyperlink>
    </w:p>
    <w:p w14:paraId="064DC0F6" w14:textId="0313C19E" w:rsidR="00330860" w:rsidRDefault="000D71EB">
      <w:pPr>
        <w:pStyle w:val="31"/>
        <w:rPr>
          <w:rFonts w:asciiTheme="minorHAnsi" w:eastAsiaTheme="minorEastAsia" w:hAnsiTheme="minorHAnsi" w:cstheme="minorBidi"/>
          <w:kern w:val="2"/>
          <w:lang w:val="en-US" w:eastAsia="en-US"/>
          <w14:ligatures w14:val="standardContextual"/>
        </w:rPr>
      </w:pPr>
      <w:hyperlink w:anchor="_Toc223591119" w:history="1">
        <w:r w:rsidR="00330860" w:rsidRPr="00451799">
          <w:rPr>
            <w:rStyle w:val="a3"/>
          </w:rPr>
          <w:t>В 2025 году жительницы столицы накопили 17 млрд рублей с программой долгосрочных сбережений (ПДС) в СберНПФ. Это вдвое больше, чем в 2024 году. При этом москвички на треть повысили среднюю сумму текущего взноса и оказались на первой строчке рейтинга долгосрочных сбережений.</w:t>
        </w:r>
        <w:r w:rsidR="00330860">
          <w:rPr>
            <w:webHidden/>
          </w:rPr>
          <w:tab/>
        </w:r>
        <w:r w:rsidR="00330860">
          <w:rPr>
            <w:webHidden/>
          </w:rPr>
          <w:fldChar w:fldCharType="begin"/>
        </w:r>
        <w:r w:rsidR="00330860">
          <w:rPr>
            <w:webHidden/>
          </w:rPr>
          <w:instrText xml:space="preserve"> PAGEREF _Toc223591119 \h </w:instrText>
        </w:r>
        <w:r w:rsidR="00330860">
          <w:rPr>
            <w:webHidden/>
          </w:rPr>
        </w:r>
        <w:r w:rsidR="00330860">
          <w:rPr>
            <w:webHidden/>
          </w:rPr>
          <w:fldChar w:fldCharType="separate"/>
        </w:r>
        <w:r w:rsidR="00850ED7">
          <w:rPr>
            <w:webHidden/>
          </w:rPr>
          <w:t>29</w:t>
        </w:r>
        <w:r w:rsidR="00330860">
          <w:rPr>
            <w:webHidden/>
          </w:rPr>
          <w:fldChar w:fldCharType="end"/>
        </w:r>
      </w:hyperlink>
    </w:p>
    <w:p w14:paraId="6FF05928" w14:textId="5AECFFD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20" w:history="1">
        <w:r w:rsidR="00330860" w:rsidRPr="00451799">
          <w:rPr>
            <w:rStyle w:val="a3"/>
            <w:noProof/>
          </w:rPr>
          <w:t>Выберу.ру, 04.03.2026, Как накопить на пенсию самостоятельно в России — сколько откладывать и куда вложить деньги</w:t>
        </w:r>
        <w:r w:rsidR="00330860">
          <w:rPr>
            <w:noProof/>
            <w:webHidden/>
          </w:rPr>
          <w:tab/>
        </w:r>
        <w:r w:rsidR="00330860">
          <w:rPr>
            <w:noProof/>
            <w:webHidden/>
          </w:rPr>
          <w:fldChar w:fldCharType="begin"/>
        </w:r>
        <w:r w:rsidR="00330860">
          <w:rPr>
            <w:noProof/>
            <w:webHidden/>
          </w:rPr>
          <w:instrText xml:space="preserve"> PAGEREF _Toc223591120 \h </w:instrText>
        </w:r>
        <w:r w:rsidR="00330860">
          <w:rPr>
            <w:noProof/>
            <w:webHidden/>
          </w:rPr>
        </w:r>
        <w:r w:rsidR="00330860">
          <w:rPr>
            <w:noProof/>
            <w:webHidden/>
          </w:rPr>
          <w:fldChar w:fldCharType="separate"/>
        </w:r>
        <w:r w:rsidR="00850ED7">
          <w:rPr>
            <w:noProof/>
            <w:webHidden/>
          </w:rPr>
          <w:t>30</w:t>
        </w:r>
        <w:r w:rsidR="00330860">
          <w:rPr>
            <w:noProof/>
            <w:webHidden/>
          </w:rPr>
          <w:fldChar w:fldCharType="end"/>
        </w:r>
      </w:hyperlink>
    </w:p>
    <w:p w14:paraId="729951C8" w14:textId="42D03A40" w:rsidR="00330860" w:rsidRDefault="000D71EB">
      <w:pPr>
        <w:pStyle w:val="31"/>
        <w:rPr>
          <w:rFonts w:asciiTheme="minorHAnsi" w:eastAsiaTheme="minorEastAsia" w:hAnsiTheme="minorHAnsi" w:cstheme="minorBidi"/>
          <w:kern w:val="2"/>
          <w:lang w:val="en-US" w:eastAsia="en-US"/>
          <w14:ligatures w14:val="standardContextual"/>
        </w:rPr>
      </w:pPr>
      <w:hyperlink w:anchor="_Toc223591121" w:history="1">
        <w:r w:rsidR="00330860" w:rsidRPr="00451799">
          <w:rPr>
            <w:rStyle w:val="a3"/>
          </w:rPr>
          <w:t>Рассчитывать исключительно на государственную пенсию сложно, её размер сможет покрыть только базовые потребности, и то не всегда. Поэтому разберёмся, как накопить на пенсию самостоятельно. Расскажем об основных способах формирования личного капитала, который позволит сохранить привычный уровень дохода.</w:t>
        </w:r>
        <w:r w:rsidR="00330860">
          <w:rPr>
            <w:webHidden/>
          </w:rPr>
          <w:tab/>
        </w:r>
        <w:r w:rsidR="00330860">
          <w:rPr>
            <w:webHidden/>
          </w:rPr>
          <w:fldChar w:fldCharType="begin"/>
        </w:r>
        <w:r w:rsidR="00330860">
          <w:rPr>
            <w:webHidden/>
          </w:rPr>
          <w:instrText xml:space="preserve"> PAGEREF _Toc223591121 \h </w:instrText>
        </w:r>
        <w:r w:rsidR="00330860">
          <w:rPr>
            <w:webHidden/>
          </w:rPr>
        </w:r>
        <w:r w:rsidR="00330860">
          <w:rPr>
            <w:webHidden/>
          </w:rPr>
          <w:fldChar w:fldCharType="separate"/>
        </w:r>
        <w:r w:rsidR="00850ED7">
          <w:rPr>
            <w:webHidden/>
          </w:rPr>
          <w:t>30</w:t>
        </w:r>
        <w:r w:rsidR="00330860">
          <w:rPr>
            <w:webHidden/>
          </w:rPr>
          <w:fldChar w:fldCharType="end"/>
        </w:r>
      </w:hyperlink>
    </w:p>
    <w:p w14:paraId="7EE36867" w14:textId="3B922EF2"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22" w:history="1">
        <w:r w:rsidR="00330860" w:rsidRPr="00451799">
          <w:rPr>
            <w:rStyle w:val="a3"/>
            <w:noProof/>
          </w:rPr>
          <w:t>АиФ-Тюмень, 04.03.2026, Сбережения жителей Тюменской области превысили 23 млрд рублей</w:t>
        </w:r>
        <w:r w:rsidR="00330860">
          <w:rPr>
            <w:noProof/>
            <w:webHidden/>
          </w:rPr>
          <w:tab/>
        </w:r>
        <w:r w:rsidR="00330860">
          <w:rPr>
            <w:noProof/>
            <w:webHidden/>
          </w:rPr>
          <w:fldChar w:fldCharType="begin"/>
        </w:r>
        <w:r w:rsidR="00330860">
          <w:rPr>
            <w:noProof/>
            <w:webHidden/>
          </w:rPr>
          <w:instrText xml:space="preserve"> PAGEREF _Toc223591122 \h </w:instrText>
        </w:r>
        <w:r w:rsidR="00330860">
          <w:rPr>
            <w:noProof/>
            <w:webHidden/>
          </w:rPr>
        </w:r>
        <w:r w:rsidR="00330860">
          <w:rPr>
            <w:noProof/>
            <w:webHidden/>
          </w:rPr>
          <w:fldChar w:fldCharType="separate"/>
        </w:r>
        <w:r w:rsidR="00850ED7">
          <w:rPr>
            <w:noProof/>
            <w:webHidden/>
          </w:rPr>
          <w:t>36</w:t>
        </w:r>
        <w:r w:rsidR="00330860">
          <w:rPr>
            <w:noProof/>
            <w:webHidden/>
          </w:rPr>
          <w:fldChar w:fldCharType="end"/>
        </w:r>
      </w:hyperlink>
    </w:p>
    <w:p w14:paraId="75293645" w14:textId="475983D3" w:rsidR="00330860" w:rsidRDefault="000D71EB">
      <w:pPr>
        <w:pStyle w:val="31"/>
        <w:rPr>
          <w:rFonts w:asciiTheme="minorHAnsi" w:eastAsiaTheme="minorEastAsia" w:hAnsiTheme="minorHAnsi" w:cstheme="minorBidi"/>
          <w:kern w:val="2"/>
          <w:lang w:val="en-US" w:eastAsia="en-US"/>
          <w14:ligatures w14:val="standardContextual"/>
        </w:rPr>
      </w:pPr>
      <w:hyperlink w:anchor="_Toc223591123" w:history="1">
        <w:r w:rsidR="00330860" w:rsidRPr="00451799">
          <w:rPr>
            <w:rStyle w:val="a3"/>
          </w:rPr>
          <w:t>Жители юга Тюменской области, а также Югры и Ямала активно подключаются к программе долгосрочных сбережений. По данным на начало 2026 года, участники региона заключили более 350 тысяч договоров с негосударственными пенсионными фондами. Общий объем накоплений превысил 23 млрд рублей. Средства переводились в том числе из Социального фонда России и частных НПФ.</w:t>
        </w:r>
        <w:r w:rsidR="00330860">
          <w:rPr>
            <w:webHidden/>
          </w:rPr>
          <w:tab/>
        </w:r>
        <w:r w:rsidR="00330860">
          <w:rPr>
            <w:webHidden/>
          </w:rPr>
          <w:fldChar w:fldCharType="begin"/>
        </w:r>
        <w:r w:rsidR="00330860">
          <w:rPr>
            <w:webHidden/>
          </w:rPr>
          <w:instrText xml:space="preserve"> PAGEREF _Toc223591123 \h </w:instrText>
        </w:r>
        <w:r w:rsidR="00330860">
          <w:rPr>
            <w:webHidden/>
          </w:rPr>
        </w:r>
        <w:r w:rsidR="00330860">
          <w:rPr>
            <w:webHidden/>
          </w:rPr>
          <w:fldChar w:fldCharType="separate"/>
        </w:r>
        <w:r w:rsidR="00850ED7">
          <w:rPr>
            <w:webHidden/>
          </w:rPr>
          <w:t>36</w:t>
        </w:r>
        <w:r w:rsidR="00330860">
          <w:rPr>
            <w:webHidden/>
          </w:rPr>
          <w:fldChar w:fldCharType="end"/>
        </w:r>
      </w:hyperlink>
    </w:p>
    <w:p w14:paraId="4913E2D6" w14:textId="6AC8B572"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24" w:history="1">
        <w:r w:rsidR="00330860" w:rsidRPr="00451799">
          <w:rPr>
            <w:rStyle w:val="a3"/>
            <w:noProof/>
          </w:rPr>
          <w:t>Вслух.ру (Тюмень), 04.03.2026, Жители тюменской «матрешки» вложили в программу долгосрочных сбережений 23 миллиарда рублей</w:t>
        </w:r>
        <w:r w:rsidR="00330860">
          <w:rPr>
            <w:noProof/>
            <w:webHidden/>
          </w:rPr>
          <w:tab/>
        </w:r>
        <w:r w:rsidR="00330860">
          <w:rPr>
            <w:noProof/>
            <w:webHidden/>
          </w:rPr>
          <w:fldChar w:fldCharType="begin"/>
        </w:r>
        <w:r w:rsidR="00330860">
          <w:rPr>
            <w:noProof/>
            <w:webHidden/>
          </w:rPr>
          <w:instrText xml:space="preserve"> PAGEREF _Toc223591124 \h </w:instrText>
        </w:r>
        <w:r w:rsidR="00330860">
          <w:rPr>
            <w:noProof/>
            <w:webHidden/>
          </w:rPr>
        </w:r>
        <w:r w:rsidR="00330860">
          <w:rPr>
            <w:noProof/>
            <w:webHidden/>
          </w:rPr>
          <w:fldChar w:fldCharType="separate"/>
        </w:r>
        <w:r w:rsidR="00850ED7">
          <w:rPr>
            <w:noProof/>
            <w:webHidden/>
          </w:rPr>
          <w:t>37</w:t>
        </w:r>
        <w:r w:rsidR="00330860">
          <w:rPr>
            <w:noProof/>
            <w:webHidden/>
          </w:rPr>
          <w:fldChar w:fldCharType="end"/>
        </w:r>
      </w:hyperlink>
    </w:p>
    <w:p w14:paraId="1AF209A1" w14:textId="793CA19D" w:rsidR="00330860" w:rsidRDefault="000D71EB">
      <w:pPr>
        <w:pStyle w:val="31"/>
        <w:rPr>
          <w:rFonts w:asciiTheme="minorHAnsi" w:eastAsiaTheme="minorEastAsia" w:hAnsiTheme="minorHAnsi" w:cstheme="minorBidi"/>
          <w:kern w:val="2"/>
          <w:lang w:val="en-US" w:eastAsia="en-US"/>
          <w14:ligatures w14:val="standardContextual"/>
        </w:rPr>
      </w:pPr>
      <w:hyperlink w:anchor="_Toc223591125" w:history="1">
        <w:r w:rsidR="00330860" w:rsidRPr="00451799">
          <w:rPr>
            <w:rStyle w:val="a3"/>
          </w:rPr>
          <w:t>Жители Тюменской области, Югры и Ямала заключили с негосударственными пенсионными фондами (НПФ) более 350 тыс. договоров о долгосрочных сбережениях. Общий объем взносов на начало января достиг 23 млрд рублей.</w:t>
        </w:r>
        <w:r w:rsidR="00330860">
          <w:rPr>
            <w:webHidden/>
          </w:rPr>
          <w:tab/>
        </w:r>
        <w:r w:rsidR="00330860">
          <w:rPr>
            <w:webHidden/>
          </w:rPr>
          <w:fldChar w:fldCharType="begin"/>
        </w:r>
        <w:r w:rsidR="00330860">
          <w:rPr>
            <w:webHidden/>
          </w:rPr>
          <w:instrText xml:space="preserve"> PAGEREF _Toc223591125 \h </w:instrText>
        </w:r>
        <w:r w:rsidR="00330860">
          <w:rPr>
            <w:webHidden/>
          </w:rPr>
        </w:r>
        <w:r w:rsidR="00330860">
          <w:rPr>
            <w:webHidden/>
          </w:rPr>
          <w:fldChar w:fldCharType="separate"/>
        </w:r>
        <w:r w:rsidR="00850ED7">
          <w:rPr>
            <w:webHidden/>
          </w:rPr>
          <w:t>37</w:t>
        </w:r>
        <w:r w:rsidR="00330860">
          <w:rPr>
            <w:webHidden/>
          </w:rPr>
          <w:fldChar w:fldCharType="end"/>
        </w:r>
      </w:hyperlink>
    </w:p>
    <w:p w14:paraId="52682FD1" w14:textId="72C5ED65"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26" w:history="1">
        <w:r w:rsidR="00330860" w:rsidRPr="00451799">
          <w:rPr>
            <w:rStyle w:val="a3"/>
            <w:noProof/>
          </w:rPr>
          <w:t>Омедиа, 04.03.2026, Жители ХМАО вложили в программу долгосрочных сбережений 11,6 млрд рублей</w:t>
        </w:r>
        <w:r w:rsidR="00330860">
          <w:rPr>
            <w:noProof/>
            <w:webHidden/>
          </w:rPr>
          <w:tab/>
        </w:r>
        <w:r w:rsidR="00330860">
          <w:rPr>
            <w:noProof/>
            <w:webHidden/>
          </w:rPr>
          <w:fldChar w:fldCharType="begin"/>
        </w:r>
        <w:r w:rsidR="00330860">
          <w:rPr>
            <w:noProof/>
            <w:webHidden/>
          </w:rPr>
          <w:instrText xml:space="preserve"> PAGEREF _Toc223591126 \h </w:instrText>
        </w:r>
        <w:r w:rsidR="00330860">
          <w:rPr>
            <w:noProof/>
            <w:webHidden/>
          </w:rPr>
        </w:r>
        <w:r w:rsidR="00330860">
          <w:rPr>
            <w:noProof/>
            <w:webHidden/>
          </w:rPr>
          <w:fldChar w:fldCharType="separate"/>
        </w:r>
        <w:r w:rsidR="00850ED7">
          <w:rPr>
            <w:noProof/>
            <w:webHidden/>
          </w:rPr>
          <w:t>37</w:t>
        </w:r>
        <w:r w:rsidR="00330860">
          <w:rPr>
            <w:noProof/>
            <w:webHidden/>
          </w:rPr>
          <w:fldChar w:fldCharType="end"/>
        </w:r>
      </w:hyperlink>
    </w:p>
    <w:p w14:paraId="01FF45F6" w14:textId="2F1ED12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27" w:history="1">
        <w:r w:rsidR="00330860" w:rsidRPr="00451799">
          <w:rPr>
            <w:rStyle w:val="a3"/>
          </w:rPr>
          <w:t>Жители Югры заключили больше всего договоров по программе долгосрочных сбережений (ПДС) среди всех регионов тюменской «матрешки». По данным на начало января 2026 года, югорчане оформили 191 тысячу договоров и перечислили в негосударственные пенсионные фонды 11,6 миллиарда рублей.</w:t>
        </w:r>
        <w:r w:rsidR="00330860">
          <w:rPr>
            <w:webHidden/>
          </w:rPr>
          <w:tab/>
        </w:r>
        <w:r w:rsidR="00330860">
          <w:rPr>
            <w:webHidden/>
          </w:rPr>
          <w:fldChar w:fldCharType="begin"/>
        </w:r>
        <w:r w:rsidR="00330860">
          <w:rPr>
            <w:webHidden/>
          </w:rPr>
          <w:instrText xml:space="preserve"> PAGEREF _Toc223591127 \h </w:instrText>
        </w:r>
        <w:r w:rsidR="00330860">
          <w:rPr>
            <w:webHidden/>
          </w:rPr>
        </w:r>
        <w:r w:rsidR="00330860">
          <w:rPr>
            <w:webHidden/>
          </w:rPr>
          <w:fldChar w:fldCharType="separate"/>
        </w:r>
        <w:r w:rsidR="00850ED7">
          <w:rPr>
            <w:webHidden/>
          </w:rPr>
          <w:t>37</w:t>
        </w:r>
        <w:r w:rsidR="00330860">
          <w:rPr>
            <w:webHidden/>
          </w:rPr>
          <w:fldChar w:fldCharType="end"/>
        </w:r>
      </w:hyperlink>
    </w:p>
    <w:p w14:paraId="392BAA76" w14:textId="0F62A1FE"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28" w:history="1">
        <w:r w:rsidR="00330860" w:rsidRPr="00451799">
          <w:rPr>
            <w:rStyle w:val="a3"/>
            <w:noProof/>
          </w:rPr>
          <w:t>Восток-Телеинформ, 04.03.2026, ВТБ в Бурятии: Объем сбережений населения в прошлом году вырос на треть</w:t>
        </w:r>
        <w:r w:rsidR="00330860">
          <w:rPr>
            <w:noProof/>
            <w:webHidden/>
          </w:rPr>
          <w:tab/>
        </w:r>
        <w:r w:rsidR="00330860">
          <w:rPr>
            <w:noProof/>
            <w:webHidden/>
          </w:rPr>
          <w:fldChar w:fldCharType="begin"/>
        </w:r>
        <w:r w:rsidR="00330860">
          <w:rPr>
            <w:noProof/>
            <w:webHidden/>
          </w:rPr>
          <w:instrText xml:space="preserve"> PAGEREF _Toc223591128 \h </w:instrText>
        </w:r>
        <w:r w:rsidR="00330860">
          <w:rPr>
            <w:noProof/>
            <w:webHidden/>
          </w:rPr>
        </w:r>
        <w:r w:rsidR="00330860">
          <w:rPr>
            <w:noProof/>
            <w:webHidden/>
          </w:rPr>
          <w:fldChar w:fldCharType="separate"/>
        </w:r>
        <w:r w:rsidR="00850ED7">
          <w:rPr>
            <w:noProof/>
            <w:webHidden/>
          </w:rPr>
          <w:t>38</w:t>
        </w:r>
        <w:r w:rsidR="00330860">
          <w:rPr>
            <w:noProof/>
            <w:webHidden/>
          </w:rPr>
          <w:fldChar w:fldCharType="end"/>
        </w:r>
      </w:hyperlink>
    </w:p>
    <w:p w14:paraId="5B373E45" w14:textId="088F464C" w:rsidR="00330860" w:rsidRDefault="000D71EB">
      <w:pPr>
        <w:pStyle w:val="31"/>
        <w:rPr>
          <w:rFonts w:asciiTheme="minorHAnsi" w:eastAsiaTheme="minorEastAsia" w:hAnsiTheme="minorHAnsi" w:cstheme="minorBidi"/>
          <w:kern w:val="2"/>
          <w:lang w:val="en-US" w:eastAsia="en-US"/>
          <w14:ligatures w14:val="standardContextual"/>
        </w:rPr>
      </w:pPr>
      <w:hyperlink w:anchor="_Toc223591129" w:history="1">
        <w:r w:rsidR="00330860" w:rsidRPr="00451799">
          <w:rPr>
            <w:rStyle w:val="a3"/>
          </w:rPr>
          <w:t>Объем накоплений розничных клиентов ВТБ в Бурятии по итогам 2025 года показал рост на 34%, превысив 41 млрд рублей. Около 35 млрд рублей из этой суммы размещено на депозитах. Об этом сообщила Инесса Лхасаранова, управляющий ВТБ в Республике Бурятия.</w:t>
        </w:r>
        <w:r w:rsidR="00330860">
          <w:rPr>
            <w:webHidden/>
          </w:rPr>
          <w:tab/>
        </w:r>
        <w:r w:rsidR="00330860">
          <w:rPr>
            <w:webHidden/>
          </w:rPr>
          <w:fldChar w:fldCharType="begin"/>
        </w:r>
        <w:r w:rsidR="00330860">
          <w:rPr>
            <w:webHidden/>
          </w:rPr>
          <w:instrText xml:space="preserve"> PAGEREF _Toc223591129 \h </w:instrText>
        </w:r>
        <w:r w:rsidR="00330860">
          <w:rPr>
            <w:webHidden/>
          </w:rPr>
        </w:r>
        <w:r w:rsidR="00330860">
          <w:rPr>
            <w:webHidden/>
          </w:rPr>
          <w:fldChar w:fldCharType="separate"/>
        </w:r>
        <w:r w:rsidR="00850ED7">
          <w:rPr>
            <w:webHidden/>
          </w:rPr>
          <w:t>38</w:t>
        </w:r>
        <w:r w:rsidR="00330860">
          <w:rPr>
            <w:webHidden/>
          </w:rPr>
          <w:fldChar w:fldCharType="end"/>
        </w:r>
      </w:hyperlink>
    </w:p>
    <w:p w14:paraId="715CBFE5" w14:textId="415D7808"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130" w:history="1">
        <w:r w:rsidR="00330860" w:rsidRPr="00451799">
          <w:rPr>
            <w:rStyle w:val="a3"/>
            <w:noProof/>
          </w:rPr>
          <w:t>Новости развития системы обязательного пенсионного страхования и страховой пенсии</w:t>
        </w:r>
        <w:r w:rsidR="00330860">
          <w:rPr>
            <w:noProof/>
            <w:webHidden/>
          </w:rPr>
          <w:tab/>
        </w:r>
        <w:r w:rsidR="00330860">
          <w:rPr>
            <w:noProof/>
            <w:webHidden/>
          </w:rPr>
          <w:fldChar w:fldCharType="begin"/>
        </w:r>
        <w:r w:rsidR="00330860">
          <w:rPr>
            <w:noProof/>
            <w:webHidden/>
          </w:rPr>
          <w:instrText xml:space="preserve"> PAGEREF _Toc223591130 \h </w:instrText>
        </w:r>
        <w:r w:rsidR="00330860">
          <w:rPr>
            <w:noProof/>
            <w:webHidden/>
          </w:rPr>
        </w:r>
        <w:r w:rsidR="00330860">
          <w:rPr>
            <w:noProof/>
            <w:webHidden/>
          </w:rPr>
          <w:fldChar w:fldCharType="separate"/>
        </w:r>
        <w:r w:rsidR="00850ED7">
          <w:rPr>
            <w:noProof/>
            <w:webHidden/>
          </w:rPr>
          <w:t>39</w:t>
        </w:r>
        <w:r w:rsidR="00330860">
          <w:rPr>
            <w:noProof/>
            <w:webHidden/>
          </w:rPr>
          <w:fldChar w:fldCharType="end"/>
        </w:r>
      </w:hyperlink>
    </w:p>
    <w:p w14:paraId="0E3AA470" w14:textId="6220B862"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31" w:history="1">
        <w:r w:rsidR="00330860" w:rsidRPr="00451799">
          <w:rPr>
            <w:rStyle w:val="a3"/>
            <w:noProof/>
          </w:rPr>
          <w:t>ТАСС, 04.03.2026, Депутат Говырин рассказал, какие виды пенсионных выплат увеличат с 1 апреля</w:t>
        </w:r>
        <w:r w:rsidR="00330860">
          <w:rPr>
            <w:noProof/>
            <w:webHidden/>
          </w:rPr>
          <w:tab/>
        </w:r>
        <w:r w:rsidR="00330860">
          <w:rPr>
            <w:noProof/>
            <w:webHidden/>
          </w:rPr>
          <w:fldChar w:fldCharType="begin"/>
        </w:r>
        <w:r w:rsidR="00330860">
          <w:rPr>
            <w:noProof/>
            <w:webHidden/>
          </w:rPr>
          <w:instrText xml:space="preserve"> PAGEREF _Toc223591131 \h </w:instrText>
        </w:r>
        <w:r w:rsidR="00330860">
          <w:rPr>
            <w:noProof/>
            <w:webHidden/>
          </w:rPr>
        </w:r>
        <w:r w:rsidR="00330860">
          <w:rPr>
            <w:noProof/>
            <w:webHidden/>
          </w:rPr>
          <w:fldChar w:fldCharType="separate"/>
        </w:r>
        <w:r w:rsidR="00850ED7">
          <w:rPr>
            <w:noProof/>
            <w:webHidden/>
          </w:rPr>
          <w:t>39</w:t>
        </w:r>
        <w:r w:rsidR="00330860">
          <w:rPr>
            <w:noProof/>
            <w:webHidden/>
          </w:rPr>
          <w:fldChar w:fldCharType="end"/>
        </w:r>
      </w:hyperlink>
    </w:p>
    <w:p w14:paraId="7AC313E8" w14:textId="08A35F35" w:rsidR="00330860" w:rsidRDefault="000D71EB">
      <w:pPr>
        <w:pStyle w:val="31"/>
        <w:rPr>
          <w:rFonts w:asciiTheme="minorHAnsi" w:eastAsiaTheme="minorEastAsia" w:hAnsiTheme="minorHAnsi" w:cstheme="minorBidi"/>
          <w:kern w:val="2"/>
          <w:lang w:val="en-US" w:eastAsia="en-US"/>
          <w14:ligatures w14:val="standardContextual"/>
        </w:rPr>
      </w:pPr>
      <w:hyperlink w:anchor="_Toc223591132" w:history="1">
        <w:r w:rsidR="00330860" w:rsidRPr="00451799">
          <w:rPr>
            <w:rStyle w:val="a3"/>
          </w:rPr>
          <w:t>Ряд пенсионных выплат в России будет увеличен с 1 апреля 2026 года – это касается социальных, государственных и страховых пенсий, рассказал ТАСС член комитета Госдумы по малому и среднему предпринимательству Алексей Говырин (фракция «Единая Россия»).</w:t>
        </w:r>
        <w:r w:rsidR="00330860">
          <w:rPr>
            <w:webHidden/>
          </w:rPr>
          <w:tab/>
        </w:r>
        <w:r w:rsidR="00330860">
          <w:rPr>
            <w:webHidden/>
          </w:rPr>
          <w:fldChar w:fldCharType="begin"/>
        </w:r>
        <w:r w:rsidR="00330860">
          <w:rPr>
            <w:webHidden/>
          </w:rPr>
          <w:instrText xml:space="preserve"> PAGEREF _Toc223591132 \h </w:instrText>
        </w:r>
        <w:r w:rsidR="00330860">
          <w:rPr>
            <w:webHidden/>
          </w:rPr>
        </w:r>
        <w:r w:rsidR="00330860">
          <w:rPr>
            <w:webHidden/>
          </w:rPr>
          <w:fldChar w:fldCharType="separate"/>
        </w:r>
        <w:r w:rsidR="00850ED7">
          <w:rPr>
            <w:webHidden/>
          </w:rPr>
          <w:t>39</w:t>
        </w:r>
        <w:r w:rsidR="00330860">
          <w:rPr>
            <w:webHidden/>
          </w:rPr>
          <w:fldChar w:fldCharType="end"/>
        </w:r>
      </w:hyperlink>
    </w:p>
    <w:p w14:paraId="28DFA677" w14:textId="46525AA9"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33" w:history="1">
        <w:r w:rsidR="00330860" w:rsidRPr="00451799">
          <w:rPr>
            <w:rStyle w:val="a3"/>
            <w:noProof/>
          </w:rPr>
          <w:t>РИА Новости, 04.03.2026, Голикова: переход к электронному взаимодействию архивов с россиянами завершен в 2025 г</w:t>
        </w:r>
        <w:r w:rsidR="00330860">
          <w:rPr>
            <w:noProof/>
            <w:webHidden/>
          </w:rPr>
          <w:tab/>
        </w:r>
        <w:r w:rsidR="00330860">
          <w:rPr>
            <w:noProof/>
            <w:webHidden/>
          </w:rPr>
          <w:fldChar w:fldCharType="begin"/>
        </w:r>
        <w:r w:rsidR="00330860">
          <w:rPr>
            <w:noProof/>
            <w:webHidden/>
          </w:rPr>
          <w:instrText xml:space="preserve"> PAGEREF _Toc223591133 \h </w:instrText>
        </w:r>
        <w:r w:rsidR="00330860">
          <w:rPr>
            <w:noProof/>
            <w:webHidden/>
          </w:rPr>
        </w:r>
        <w:r w:rsidR="00330860">
          <w:rPr>
            <w:noProof/>
            <w:webHidden/>
          </w:rPr>
          <w:fldChar w:fldCharType="separate"/>
        </w:r>
        <w:r w:rsidR="00850ED7">
          <w:rPr>
            <w:noProof/>
            <w:webHidden/>
          </w:rPr>
          <w:t>40</w:t>
        </w:r>
        <w:r w:rsidR="00330860">
          <w:rPr>
            <w:noProof/>
            <w:webHidden/>
          </w:rPr>
          <w:fldChar w:fldCharType="end"/>
        </w:r>
      </w:hyperlink>
    </w:p>
    <w:p w14:paraId="2701EE63" w14:textId="4B8ED48A" w:rsidR="00330860" w:rsidRDefault="000D71EB">
      <w:pPr>
        <w:pStyle w:val="31"/>
        <w:rPr>
          <w:rFonts w:asciiTheme="minorHAnsi" w:eastAsiaTheme="minorEastAsia" w:hAnsiTheme="minorHAnsi" w:cstheme="minorBidi"/>
          <w:kern w:val="2"/>
          <w:lang w:val="en-US" w:eastAsia="en-US"/>
          <w14:ligatures w14:val="standardContextual"/>
        </w:rPr>
      </w:pPr>
      <w:hyperlink w:anchor="_Toc223591134" w:history="1">
        <w:r w:rsidR="00330860" w:rsidRPr="00451799">
          <w:rPr>
            <w:rStyle w:val="a3"/>
          </w:rPr>
          <w:t>Многие запросы россиян, связанные с пенсионным обеспечением, исполнялись через Единую цифровую платформу в социальной сфере, сообщила вице-премьер РФ Татьяна Голикова.</w:t>
        </w:r>
        <w:r w:rsidR="00330860">
          <w:rPr>
            <w:webHidden/>
          </w:rPr>
          <w:tab/>
        </w:r>
        <w:r w:rsidR="00330860">
          <w:rPr>
            <w:webHidden/>
          </w:rPr>
          <w:fldChar w:fldCharType="begin"/>
        </w:r>
        <w:r w:rsidR="00330860">
          <w:rPr>
            <w:webHidden/>
          </w:rPr>
          <w:instrText xml:space="preserve"> PAGEREF _Toc223591134 \h </w:instrText>
        </w:r>
        <w:r w:rsidR="00330860">
          <w:rPr>
            <w:webHidden/>
          </w:rPr>
        </w:r>
        <w:r w:rsidR="00330860">
          <w:rPr>
            <w:webHidden/>
          </w:rPr>
          <w:fldChar w:fldCharType="separate"/>
        </w:r>
        <w:r w:rsidR="00850ED7">
          <w:rPr>
            <w:webHidden/>
          </w:rPr>
          <w:t>40</w:t>
        </w:r>
        <w:r w:rsidR="00330860">
          <w:rPr>
            <w:webHidden/>
          </w:rPr>
          <w:fldChar w:fldCharType="end"/>
        </w:r>
      </w:hyperlink>
    </w:p>
    <w:p w14:paraId="10230690" w14:textId="60637487"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35" w:history="1">
        <w:r w:rsidR="00330860" w:rsidRPr="00451799">
          <w:rPr>
            <w:rStyle w:val="a3"/>
            <w:noProof/>
          </w:rPr>
          <w:t>РИА Новости, 04.03.2026, Председатель Соцфонда РФ Чирков заключил соглашение о сотрудничестве с главой Чувашии</w:t>
        </w:r>
        <w:r w:rsidR="00330860">
          <w:rPr>
            <w:noProof/>
            <w:webHidden/>
          </w:rPr>
          <w:tab/>
        </w:r>
        <w:r w:rsidR="00330860">
          <w:rPr>
            <w:noProof/>
            <w:webHidden/>
          </w:rPr>
          <w:fldChar w:fldCharType="begin"/>
        </w:r>
        <w:r w:rsidR="00330860">
          <w:rPr>
            <w:noProof/>
            <w:webHidden/>
          </w:rPr>
          <w:instrText xml:space="preserve"> PAGEREF _Toc223591135 \h </w:instrText>
        </w:r>
        <w:r w:rsidR="00330860">
          <w:rPr>
            <w:noProof/>
            <w:webHidden/>
          </w:rPr>
        </w:r>
        <w:r w:rsidR="00330860">
          <w:rPr>
            <w:noProof/>
            <w:webHidden/>
          </w:rPr>
          <w:fldChar w:fldCharType="separate"/>
        </w:r>
        <w:r w:rsidR="00850ED7">
          <w:rPr>
            <w:noProof/>
            <w:webHidden/>
          </w:rPr>
          <w:t>40</w:t>
        </w:r>
        <w:r w:rsidR="00330860">
          <w:rPr>
            <w:noProof/>
            <w:webHidden/>
          </w:rPr>
          <w:fldChar w:fldCharType="end"/>
        </w:r>
      </w:hyperlink>
    </w:p>
    <w:p w14:paraId="2ABF7770" w14:textId="067A810D" w:rsidR="00330860" w:rsidRDefault="000D71EB">
      <w:pPr>
        <w:pStyle w:val="31"/>
        <w:rPr>
          <w:rFonts w:asciiTheme="minorHAnsi" w:eastAsiaTheme="minorEastAsia" w:hAnsiTheme="minorHAnsi" w:cstheme="minorBidi"/>
          <w:kern w:val="2"/>
          <w:lang w:val="en-US" w:eastAsia="en-US"/>
          <w14:ligatures w14:val="standardContextual"/>
        </w:rPr>
      </w:pPr>
      <w:hyperlink w:anchor="_Toc223591136" w:history="1">
        <w:r w:rsidR="00330860" w:rsidRPr="00451799">
          <w:rPr>
            <w:rStyle w:val="a3"/>
          </w:rPr>
          <w:t>Председатель Соцфонда РФ Сергей Чирков в рамках рабочего визита в Чувашскую Республику провел встречу с главой региона Олегом Николаевым, по итогам которой стороны подписали соглашение о сотрудничестве, сообщили в пресс-службе фонда.</w:t>
        </w:r>
        <w:r w:rsidR="00330860">
          <w:rPr>
            <w:webHidden/>
          </w:rPr>
          <w:tab/>
        </w:r>
        <w:r w:rsidR="00330860">
          <w:rPr>
            <w:webHidden/>
          </w:rPr>
          <w:fldChar w:fldCharType="begin"/>
        </w:r>
        <w:r w:rsidR="00330860">
          <w:rPr>
            <w:webHidden/>
          </w:rPr>
          <w:instrText xml:space="preserve"> PAGEREF _Toc223591136 \h </w:instrText>
        </w:r>
        <w:r w:rsidR="00330860">
          <w:rPr>
            <w:webHidden/>
          </w:rPr>
        </w:r>
        <w:r w:rsidR="00330860">
          <w:rPr>
            <w:webHidden/>
          </w:rPr>
          <w:fldChar w:fldCharType="separate"/>
        </w:r>
        <w:r w:rsidR="00850ED7">
          <w:rPr>
            <w:webHidden/>
          </w:rPr>
          <w:t>40</w:t>
        </w:r>
        <w:r w:rsidR="00330860">
          <w:rPr>
            <w:webHidden/>
          </w:rPr>
          <w:fldChar w:fldCharType="end"/>
        </w:r>
      </w:hyperlink>
    </w:p>
    <w:p w14:paraId="0E55D536" w14:textId="64C7328E"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37" w:history="1">
        <w:r w:rsidR="00330860" w:rsidRPr="00451799">
          <w:rPr>
            <w:rStyle w:val="a3"/>
            <w:noProof/>
          </w:rPr>
          <w:t>Ваш Пенсионный Брокер, 04.03.2026, Мишустин: индексация социальных пенсий коснется более 4 млн россиян</w:t>
        </w:r>
        <w:r w:rsidR="00330860">
          <w:rPr>
            <w:noProof/>
            <w:webHidden/>
          </w:rPr>
          <w:tab/>
        </w:r>
        <w:r w:rsidR="00330860">
          <w:rPr>
            <w:noProof/>
            <w:webHidden/>
          </w:rPr>
          <w:fldChar w:fldCharType="begin"/>
        </w:r>
        <w:r w:rsidR="00330860">
          <w:rPr>
            <w:noProof/>
            <w:webHidden/>
          </w:rPr>
          <w:instrText xml:space="preserve"> PAGEREF _Toc223591137 \h </w:instrText>
        </w:r>
        <w:r w:rsidR="00330860">
          <w:rPr>
            <w:noProof/>
            <w:webHidden/>
          </w:rPr>
        </w:r>
        <w:r w:rsidR="00330860">
          <w:rPr>
            <w:noProof/>
            <w:webHidden/>
          </w:rPr>
          <w:fldChar w:fldCharType="separate"/>
        </w:r>
        <w:r w:rsidR="00850ED7">
          <w:rPr>
            <w:noProof/>
            <w:webHidden/>
          </w:rPr>
          <w:t>40</w:t>
        </w:r>
        <w:r w:rsidR="00330860">
          <w:rPr>
            <w:noProof/>
            <w:webHidden/>
          </w:rPr>
          <w:fldChar w:fldCharType="end"/>
        </w:r>
      </w:hyperlink>
    </w:p>
    <w:p w14:paraId="0DE14413" w14:textId="0AAA2D5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38" w:history="1">
        <w:r w:rsidR="00330860" w:rsidRPr="00451799">
          <w:rPr>
            <w:rStyle w:val="a3"/>
          </w:rPr>
          <w:t>Правительство России проиндексирует с 1 апреля социальные пенсии, мера затронет свыше четырех миллионов российских граждан. Об этом премьер-министр Михаил Мишустин заявил 2 марта на оперативном совещании с вице-премьерами.</w:t>
        </w:r>
        <w:r w:rsidR="00330860">
          <w:rPr>
            <w:webHidden/>
          </w:rPr>
          <w:tab/>
        </w:r>
        <w:r w:rsidR="00330860">
          <w:rPr>
            <w:webHidden/>
          </w:rPr>
          <w:fldChar w:fldCharType="begin"/>
        </w:r>
        <w:r w:rsidR="00330860">
          <w:rPr>
            <w:webHidden/>
          </w:rPr>
          <w:instrText xml:space="preserve"> PAGEREF _Toc223591138 \h </w:instrText>
        </w:r>
        <w:r w:rsidR="00330860">
          <w:rPr>
            <w:webHidden/>
          </w:rPr>
        </w:r>
        <w:r w:rsidR="00330860">
          <w:rPr>
            <w:webHidden/>
          </w:rPr>
          <w:fldChar w:fldCharType="separate"/>
        </w:r>
        <w:r w:rsidR="00850ED7">
          <w:rPr>
            <w:webHidden/>
          </w:rPr>
          <w:t>40</w:t>
        </w:r>
        <w:r w:rsidR="00330860">
          <w:rPr>
            <w:webHidden/>
          </w:rPr>
          <w:fldChar w:fldCharType="end"/>
        </w:r>
      </w:hyperlink>
    </w:p>
    <w:p w14:paraId="15FD3D02" w14:textId="07B3B5F3"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39" w:history="1">
        <w:r w:rsidR="00330860" w:rsidRPr="00451799">
          <w:rPr>
            <w:rStyle w:val="a3"/>
            <w:noProof/>
          </w:rPr>
          <w:t>ФедералПресс, 04.03.2026, Россиянам увеличат пенсии с 1 апреля: какие выплаты вырастут</w:t>
        </w:r>
        <w:r w:rsidR="00330860">
          <w:rPr>
            <w:noProof/>
            <w:webHidden/>
          </w:rPr>
          <w:tab/>
        </w:r>
        <w:r w:rsidR="00330860">
          <w:rPr>
            <w:noProof/>
            <w:webHidden/>
          </w:rPr>
          <w:fldChar w:fldCharType="begin"/>
        </w:r>
        <w:r w:rsidR="00330860">
          <w:rPr>
            <w:noProof/>
            <w:webHidden/>
          </w:rPr>
          <w:instrText xml:space="preserve"> PAGEREF _Toc223591139 \h </w:instrText>
        </w:r>
        <w:r w:rsidR="00330860">
          <w:rPr>
            <w:noProof/>
            <w:webHidden/>
          </w:rPr>
        </w:r>
        <w:r w:rsidR="00330860">
          <w:rPr>
            <w:noProof/>
            <w:webHidden/>
          </w:rPr>
          <w:fldChar w:fldCharType="separate"/>
        </w:r>
        <w:r w:rsidR="00850ED7">
          <w:rPr>
            <w:noProof/>
            <w:webHidden/>
          </w:rPr>
          <w:t>41</w:t>
        </w:r>
        <w:r w:rsidR="00330860">
          <w:rPr>
            <w:noProof/>
            <w:webHidden/>
          </w:rPr>
          <w:fldChar w:fldCharType="end"/>
        </w:r>
      </w:hyperlink>
    </w:p>
    <w:p w14:paraId="2F1A40BB" w14:textId="0B6DD3C1" w:rsidR="00330860" w:rsidRDefault="000D71EB">
      <w:pPr>
        <w:pStyle w:val="31"/>
        <w:rPr>
          <w:rFonts w:asciiTheme="minorHAnsi" w:eastAsiaTheme="minorEastAsia" w:hAnsiTheme="minorHAnsi" w:cstheme="minorBidi"/>
          <w:kern w:val="2"/>
          <w:lang w:val="en-US" w:eastAsia="en-US"/>
          <w14:ligatures w14:val="standardContextual"/>
        </w:rPr>
      </w:pPr>
      <w:hyperlink w:anchor="_Toc223591140" w:history="1">
        <w:r w:rsidR="00330860" w:rsidRPr="00451799">
          <w:rPr>
            <w:rStyle w:val="a3"/>
          </w:rPr>
          <w:t>С 1 апреля 2026 года в России планируется повышение ряда пенсионных выплат. Речь идет о социальных и государственных пенсиях, а также о некоторых надбавках. Об этом сообщил член комитета Госдумы по малому и среднему предпринимательству Алексей Говырин.</w:t>
        </w:r>
        <w:r w:rsidR="00330860">
          <w:rPr>
            <w:webHidden/>
          </w:rPr>
          <w:tab/>
        </w:r>
        <w:r w:rsidR="00330860">
          <w:rPr>
            <w:webHidden/>
          </w:rPr>
          <w:fldChar w:fldCharType="begin"/>
        </w:r>
        <w:r w:rsidR="00330860">
          <w:rPr>
            <w:webHidden/>
          </w:rPr>
          <w:instrText xml:space="preserve"> PAGEREF _Toc223591140 \h </w:instrText>
        </w:r>
        <w:r w:rsidR="00330860">
          <w:rPr>
            <w:webHidden/>
          </w:rPr>
        </w:r>
        <w:r w:rsidR="00330860">
          <w:rPr>
            <w:webHidden/>
          </w:rPr>
          <w:fldChar w:fldCharType="separate"/>
        </w:r>
        <w:r w:rsidR="00850ED7">
          <w:rPr>
            <w:webHidden/>
          </w:rPr>
          <w:t>41</w:t>
        </w:r>
        <w:r w:rsidR="00330860">
          <w:rPr>
            <w:webHidden/>
          </w:rPr>
          <w:fldChar w:fldCharType="end"/>
        </w:r>
      </w:hyperlink>
    </w:p>
    <w:p w14:paraId="1D3218F5" w14:textId="1FF5368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41" w:history="1">
        <w:r w:rsidR="00330860" w:rsidRPr="00451799">
          <w:rPr>
            <w:rStyle w:val="a3"/>
            <w:noProof/>
          </w:rPr>
          <w:t>Frank Media, 04.03.2026, Фиксированная выплата к страховой пенсии в 2026 году: сколько платят и кому</w:t>
        </w:r>
        <w:r w:rsidR="00330860">
          <w:rPr>
            <w:noProof/>
            <w:webHidden/>
          </w:rPr>
          <w:tab/>
        </w:r>
        <w:r w:rsidR="00330860">
          <w:rPr>
            <w:noProof/>
            <w:webHidden/>
          </w:rPr>
          <w:fldChar w:fldCharType="begin"/>
        </w:r>
        <w:r w:rsidR="00330860">
          <w:rPr>
            <w:noProof/>
            <w:webHidden/>
          </w:rPr>
          <w:instrText xml:space="preserve"> PAGEREF _Toc223591141 \h </w:instrText>
        </w:r>
        <w:r w:rsidR="00330860">
          <w:rPr>
            <w:noProof/>
            <w:webHidden/>
          </w:rPr>
        </w:r>
        <w:r w:rsidR="00330860">
          <w:rPr>
            <w:noProof/>
            <w:webHidden/>
          </w:rPr>
          <w:fldChar w:fldCharType="separate"/>
        </w:r>
        <w:r w:rsidR="00850ED7">
          <w:rPr>
            <w:noProof/>
            <w:webHidden/>
          </w:rPr>
          <w:t>42</w:t>
        </w:r>
        <w:r w:rsidR="00330860">
          <w:rPr>
            <w:noProof/>
            <w:webHidden/>
          </w:rPr>
          <w:fldChar w:fldCharType="end"/>
        </w:r>
      </w:hyperlink>
    </w:p>
    <w:p w14:paraId="25F42C5F" w14:textId="34015215" w:rsidR="00330860" w:rsidRDefault="000D71EB">
      <w:pPr>
        <w:pStyle w:val="31"/>
        <w:rPr>
          <w:rFonts w:asciiTheme="minorHAnsi" w:eastAsiaTheme="minorEastAsia" w:hAnsiTheme="minorHAnsi" w:cstheme="minorBidi"/>
          <w:kern w:val="2"/>
          <w:lang w:val="en-US" w:eastAsia="en-US"/>
          <w14:ligatures w14:val="standardContextual"/>
        </w:rPr>
      </w:pPr>
      <w:hyperlink w:anchor="_Toc223591142" w:history="1">
        <w:r w:rsidR="00330860" w:rsidRPr="00451799">
          <w:rPr>
            <w:rStyle w:val="a3"/>
          </w:rPr>
          <w:t>Фиксированная выплата – это часть страховой пенсии, которая гарантирована государством. В этой статье вы узнаете, кому она положена, как формируется её размер, какие надбавки могут увеличить выплату, как проверять стаж и иждивенцев, как действует индексация и на что обратить внимание, чтобы получать полную сумму.</w:t>
        </w:r>
        <w:r w:rsidR="00330860">
          <w:rPr>
            <w:webHidden/>
          </w:rPr>
          <w:tab/>
        </w:r>
        <w:r w:rsidR="00330860">
          <w:rPr>
            <w:webHidden/>
          </w:rPr>
          <w:fldChar w:fldCharType="begin"/>
        </w:r>
        <w:r w:rsidR="00330860">
          <w:rPr>
            <w:webHidden/>
          </w:rPr>
          <w:instrText xml:space="preserve"> PAGEREF _Toc223591142 \h </w:instrText>
        </w:r>
        <w:r w:rsidR="00330860">
          <w:rPr>
            <w:webHidden/>
          </w:rPr>
        </w:r>
        <w:r w:rsidR="00330860">
          <w:rPr>
            <w:webHidden/>
          </w:rPr>
          <w:fldChar w:fldCharType="separate"/>
        </w:r>
        <w:r w:rsidR="00850ED7">
          <w:rPr>
            <w:webHidden/>
          </w:rPr>
          <w:t>42</w:t>
        </w:r>
        <w:r w:rsidR="00330860">
          <w:rPr>
            <w:webHidden/>
          </w:rPr>
          <w:fldChar w:fldCharType="end"/>
        </w:r>
      </w:hyperlink>
    </w:p>
    <w:p w14:paraId="23570949" w14:textId="47FAC4B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43" w:history="1">
        <w:r w:rsidR="00330860" w:rsidRPr="00451799">
          <w:rPr>
            <w:rStyle w:val="a3"/>
            <w:noProof/>
          </w:rPr>
          <w:t>АиФ, 04.03.2026, Кому повысят пенсию в апреле 2026 года?</w:t>
        </w:r>
        <w:r w:rsidR="00330860">
          <w:rPr>
            <w:noProof/>
            <w:webHidden/>
          </w:rPr>
          <w:tab/>
        </w:r>
        <w:r w:rsidR="00330860">
          <w:rPr>
            <w:noProof/>
            <w:webHidden/>
          </w:rPr>
          <w:fldChar w:fldCharType="begin"/>
        </w:r>
        <w:r w:rsidR="00330860">
          <w:rPr>
            <w:noProof/>
            <w:webHidden/>
          </w:rPr>
          <w:instrText xml:space="preserve"> PAGEREF _Toc223591143 \h </w:instrText>
        </w:r>
        <w:r w:rsidR="00330860">
          <w:rPr>
            <w:noProof/>
            <w:webHidden/>
          </w:rPr>
        </w:r>
        <w:r w:rsidR="00330860">
          <w:rPr>
            <w:noProof/>
            <w:webHidden/>
          </w:rPr>
          <w:fldChar w:fldCharType="separate"/>
        </w:r>
        <w:r w:rsidR="00850ED7">
          <w:rPr>
            <w:noProof/>
            <w:webHidden/>
          </w:rPr>
          <w:t>46</w:t>
        </w:r>
        <w:r w:rsidR="00330860">
          <w:rPr>
            <w:noProof/>
            <w:webHidden/>
          </w:rPr>
          <w:fldChar w:fldCharType="end"/>
        </w:r>
      </w:hyperlink>
    </w:p>
    <w:p w14:paraId="5D0C0804" w14:textId="43CABBDD" w:rsidR="00330860" w:rsidRDefault="000D71EB">
      <w:pPr>
        <w:pStyle w:val="31"/>
        <w:rPr>
          <w:rFonts w:asciiTheme="minorHAnsi" w:eastAsiaTheme="minorEastAsia" w:hAnsiTheme="minorHAnsi" w:cstheme="minorBidi"/>
          <w:kern w:val="2"/>
          <w:lang w:val="en-US" w:eastAsia="en-US"/>
          <w14:ligatures w14:val="standardContextual"/>
        </w:rPr>
      </w:pPr>
      <w:hyperlink w:anchor="_Toc223591144" w:history="1">
        <w:r w:rsidR="00330860" w:rsidRPr="00451799">
          <w:rPr>
            <w:rStyle w:val="a3"/>
          </w:rPr>
          <w:t xml:space="preserve">С 1 апреля 2026 года в России пройдет индексация социальных и государственных пенсий, которая затронет более 4 миллионов человек. Повышение также ожидает ряд других категорий граждан, получающих отдельные виды выплат. Кому повысят пенсию в апреле 2026 года - читайте в справке </w:t>
        </w:r>
        <w:r w:rsidR="00330860" w:rsidRPr="00451799">
          <w:rPr>
            <w:rStyle w:val="a3"/>
            <w:lang w:val="en-US"/>
          </w:rPr>
          <w:t>aif</w:t>
        </w:r>
        <w:r w:rsidR="00330860" w:rsidRPr="00451799">
          <w:rPr>
            <w:rStyle w:val="a3"/>
          </w:rPr>
          <w:t>.</w:t>
        </w:r>
        <w:r w:rsidR="00330860" w:rsidRPr="00451799">
          <w:rPr>
            <w:rStyle w:val="a3"/>
            <w:lang w:val="en-US"/>
          </w:rPr>
          <w:t>ru</w:t>
        </w:r>
        <w:r w:rsidR="00330860" w:rsidRPr="00451799">
          <w:rPr>
            <w:rStyle w:val="a3"/>
          </w:rPr>
          <w:t>.</w:t>
        </w:r>
        <w:r w:rsidR="00330860">
          <w:rPr>
            <w:webHidden/>
          </w:rPr>
          <w:tab/>
        </w:r>
        <w:r w:rsidR="00330860">
          <w:rPr>
            <w:webHidden/>
          </w:rPr>
          <w:fldChar w:fldCharType="begin"/>
        </w:r>
        <w:r w:rsidR="00330860">
          <w:rPr>
            <w:webHidden/>
          </w:rPr>
          <w:instrText xml:space="preserve"> PAGEREF _Toc223591144 \h </w:instrText>
        </w:r>
        <w:r w:rsidR="00330860">
          <w:rPr>
            <w:webHidden/>
          </w:rPr>
        </w:r>
        <w:r w:rsidR="00330860">
          <w:rPr>
            <w:webHidden/>
          </w:rPr>
          <w:fldChar w:fldCharType="separate"/>
        </w:r>
        <w:r w:rsidR="00850ED7">
          <w:rPr>
            <w:webHidden/>
          </w:rPr>
          <w:t>46</w:t>
        </w:r>
        <w:r w:rsidR="00330860">
          <w:rPr>
            <w:webHidden/>
          </w:rPr>
          <w:fldChar w:fldCharType="end"/>
        </w:r>
      </w:hyperlink>
    </w:p>
    <w:p w14:paraId="319C5AC5" w14:textId="3B546B5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45" w:history="1">
        <w:r w:rsidR="00330860" w:rsidRPr="00451799">
          <w:rPr>
            <w:rStyle w:val="a3"/>
            <w:noProof/>
          </w:rPr>
          <w:t>Выберу.ру, 04.03.2026, Новая льгота для ветеранов труда: всем будут доплачивать к пенсии</w:t>
        </w:r>
        <w:r w:rsidR="00330860">
          <w:rPr>
            <w:noProof/>
            <w:webHidden/>
          </w:rPr>
          <w:tab/>
        </w:r>
        <w:r w:rsidR="00330860">
          <w:rPr>
            <w:noProof/>
            <w:webHidden/>
          </w:rPr>
          <w:fldChar w:fldCharType="begin"/>
        </w:r>
        <w:r w:rsidR="00330860">
          <w:rPr>
            <w:noProof/>
            <w:webHidden/>
          </w:rPr>
          <w:instrText xml:space="preserve"> PAGEREF _Toc223591145 \h </w:instrText>
        </w:r>
        <w:r w:rsidR="00330860">
          <w:rPr>
            <w:noProof/>
            <w:webHidden/>
          </w:rPr>
        </w:r>
        <w:r w:rsidR="00330860">
          <w:rPr>
            <w:noProof/>
            <w:webHidden/>
          </w:rPr>
          <w:fldChar w:fldCharType="separate"/>
        </w:r>
        <w:r w:rsidR="00850ED7">
          <w:rPr>
            <w:noProof/>
            <w:webHidden/>
          </w:rPr>
          <w:t>47</w:t>
        </w:r>
        <w:r w:rsidR="00330860">
          <w:rPr>
            <w:noProof/>
            <w:webHidden/>
          </w:rPr>
          <w:fldChar w:fldCharType="end"/>
        </w:r>
      </w:hyperlink>
    </w:p>
    <w:p w14:paraId="5652FED2" w14:textId="76D1ECA4" w:rsidR="00330860" w:rsidRDefault="000D71EB">
      <w:pPr>
        <w:pStyle w:val="31"/>
        <w:rPr>
          <w:rFonts w:asciiTheme="minorHAnsi" w:eastAsiaTheme="minorEastAsia" w:hAnsiTheme="minorHAnsi" w:cstheme="minorBidi"/>
          <w:kern w:val="2"/>
          <w:lang w:val="en-US" w:eastAsia="en-US"/>
          <w14:ligatures w14:val="standardContextual"/>
        </w:rPr>
      </w:pPr>
      <w:hyperlink w:anchor="_Toc223591146" w:history="1">
        <w:r w:rsidR="00330860" w:rsidRPr="00451799">
          <w:rPr>
            <w:rStyle w:val="a3"/>
          </w:rPr>
          <w:t>Звание «ветеран труда» давало массу льгот в советское время. После распада СССР поддержка переместилась на региональный уровень. В Госдуме предлагают изменить ситуацию. Ввести звание на федеральном уровне и ежемесячно доплачивать к пенсии, тем самым отдавая дань людям, которые долгие годы трудились на благо страны.</w:t>
        </w:r>
        <w:r w:rsidR="00330860">
          <w:rPr>
            <w:webHidden/>
          </w:rPr>
          <w:tab/>
        </w:r>
        <w:r w:rsidR="00330860">
          <w:rPr>
            <w:webHidden/>
          </w:rPr>
          <w:fldChar w:fldCharType="begin"/>
        </w:r>
        <w:r w:rsidR="00330860">
          <w:rPr>
            <w:webHidden/>
          </w:rPr>
          <w:instrText xml:space="preserve"> PAGEREF _Toc223591146 \h </w:instrText>
        </w:r>
        <w:r w:rsidR="00330860">
          <w:rPr>
            <w:webHidden/>
          </w:rPr>
        </w:r>
        <w:r w:rsidR="00330860">
          <w:rPr>
            <w:webHidden/>
          </w:rPr>
          <w:fldChar w:fldCharType="separate"/>
        </w:r>
        <w:r w:rsidR="00850ED7">
          <w:rPr>
            <w:webHidden/>
          </w:rPr>
          <w:t>47</w:t>
        </w:r>
        <w:r w:rsidR="00330860">
          <w:rPr>
            <w:webHidden/>
          </w:rPr>
          <w:fldChar w:fldCharType="end"/>
        </w:r>
      </w:hyperlink>
    </w:p>
    <w:p w14:paraId="4906B487" w14:textId="6618F8BF"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47" w:history="1">
        <w:r w:rsidR="00330860" w:rsidRPr="00451799">
          <w:rPr>
            <w:rStyle w:val="a3"/>
            <w:noProof/>
          </w:rPr>
          <w:t>Конкурент, 04.03.2026, Решение найдено. Каждый ветеран труда будет получать по 10 000 рублей</w:t>
        </w:r>
        <w:r w:rsidR="00330860">
          <w:rPr>
            <w:noProof/>
            <w:webHidden/>
          </w:rPr>
          <w:tab/>
        </w:r>
        <w:r w:rsidR="00330860">
          <w:rPr>
            <w:noProof/>
            <w:webHidden/>
          </w:rPr>
          <w:fldChar w:fldCharType="begin"/>
        </w:r>
        <w:r w:rsidR="00330860">
          <w:rPr>
            <w:noProof/>
            <w:webHidden/>
          </w:rPr>
          <w:instrText xml:space="preserve"> PAGEREF _Toc223591147 \h </w:instrText>
        </w:r>
        <w:r w:rsidR="00330860">
          <w:rPr>
            <w:noProof/>
            <w:webHidden/>
          </w:rPr>
        </w:r>
        <w:r w:rsidR="00330860">
          <w:rPr>
            <w:noProof/>
            <w:webHidden/>
          </w:rPr>
          <w:fldChar w:fldCharType="separate"/>
        </w:r>
        <w:r w:rsidR="00850ED7">
          <w:rPr>
            <w:noProof/>
            <w:webHidden/>
          </w:rPr>
          <w:t>48</w:t>
        </w:r>
        <w:r w:rsidR="00330860">
          <w:rPr>
            <w:noProof/>
            <w:webHidden/>
          </w:rPr>
          <w:fldChar w:fldCharType="end"/>
        </w:r>
      </w:hyperlink>
    </w:p>
    <w:p w14:paraId="21486AA6" w14:textId="438F9B91" w:rsidR="00330860" w:rsidRDefault="000D71EB">
      <w:pPr>
        <w:pStyle w:val="31"/>
        <w:rPr>
          <w:rFonts w:asciiTheme="minorHAnsi" w:eastAsiaTheme="minorEastAsia" w:hAnsiTheme="minorHAnsi" w:cstheme="minorBidi"/>
          <w:kern w:val="2"/>
          <w:lang w:val="en-US" w:eastAsia="en-US"/>
          <w14:ligatures w14:val="standardContextual"/>
        </w:rPr>
      </w:pPr>
      <w:hyperlink w:anchor="_Toc223591148" w:history="1">
        <w:r w:rsidR="00330860" w:rsidRPr="00451799">
          <w:rPr>
            <w:rStyle w:val="a3"/>
          </w:rPr>
          <w:t>В Госдуму внесен законопроект, который унифицирует федеральные правила присвоения звания «Ветеран труда». Ожидается, что обладатели этого звания будут получать ежемесячную доплату к пенсии в размере 10 тыс. руб.</w:t>
        </w:r>
        <w:r w:rsidR="00330860">
          <w:rPr>
            <w:webHidden/>
          </w:rPr>
          <w:tab/>
        </w:r>
        <w:r w:rsidR="00330860">
          <w:rPr>
            <w:webHidden/>
          </w:rPr>
          <w:fldChar w:fldCharType="begin"/>
        </w:r>
        <w:r w:rsidR="00330860">
          <w:rPr>
            <w:webHidden/>
          </w:rPr>
          <w:instrText xml:space="preserve"> PAGEREF _Toc223591148 \h </w:instrText>
        </w:r>
        <w:r w:rsidR="00330860">
          <w:rPr>
            <w:webHidden/>
          </w:rPr>
        </w:r>
        <w:r w:rsidR="00330860">
          <w:rPr>
            <w:webHidden/>
          </w:rPr>
          <w:fldChar w:fldCharType="separate"/>
        </w:r>
        <w:r w:rsidR="00850ED7">
          <w:rPr>
            <w:webHidden/>
          </w:rPr>
          <w:t>48</w:t>
        </w:r>
        <w:r w:rsidR="00330860">
          <w:rPr>
            <w:webHidden/>
          </w:rPr>
          <w:fldChar w:fldCharType="end"/>
        </w:r>
      </w:hyperlink>
    </w:p>
    <w:p w14:paraId="72302058" w14:textId="502B415D"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49" w:history="1">
        <w:r w:rsidR="00330860" w:rsidRPr="00451799">
          <w:rPr>
            <w:rStyle w:val="a3"/>
            <w:noProof/>
            <w:lang w:val="en-US"/>
          </w:rPr>
          <w:t>Pravda</w:t>
        </w:r>
        <w:r w:rsidR="00330860" w:rsidRPr="00451799">
          <w:rPr>
            <w:rStyle w:val="a3"/>
            <w:noProof/>
          </w:rPr>
          <w:t>.</w:t>
        </w:r>
        <w:r w:rsidR="00330860" w:rsidRPr="00451799">
          <w:rPr>
            <w:rStyle w:val="a3"/>
            <w:noProof/>
            <w:lang w:val="en-US"/>
          </w:rPr>
          <w:t>ru</w:t>
        </w:r>
        <w:r w:rsidR="00330860" w:rsidRPr="00451799">
          <w:rPr>
            <w:rStyle w:val="a3"/>
            <w:noProof/>
          </w:rPr>
          <w:t>, 04.03.2026, Кошелёк станет чуть тяжелее: социальные выплаты пенсионерам преодолеют важную психологическую отметку</w:t>
        </w:r>
        <w:r w:rsidR="00330860">
          <w:rPr>
            <w:noProof/>
            <w:webHidden/>
          </w:rPr>
          <w:tab/>
        </w:r>
        <w:r w:rsidR="00330860">
          <w:rPr>
            <w:noProof/>
            <w:webHidden/>
          </w:rPr>
          <w:fldChar w:fldCharType="begin"/>
        </w:r>
        <w:r w:rsidR="00330860">
          <w:rPr>
            <w:noProof/>
            <w:webHidden/>
          </w:rPr>
          <w:instrText xml:space="preserve"> PAGEREF _Toc223591149 \h </w:instrText>
        </w:r>
        <w:r w:rsidR="00330860">
          <w:rPr>
            <w:noProof/>
            <w:webHidden/>
          </w:rPr>
        </w:r>
        <w:r w:rsidR="00330860">
          <w:rPr>
            <w:noProof/>
            <w:webHidden/>
          </w:rPr>
          <w:fldChar w:fldCharType="separate"/>
        </w:r>
        <w:r w:rsidR="00850ED7">
          <w:rPr>
            <w:noProof/>
            <w:webHidden/>
          </w:rPr>
          <w:t>48</w:t>
        </w:r>
        <w:r w:rsidR="00330860">
          <w:rPr>
            <w:noProof/>
            <w:webHidden/>
          </w:rPr>
          <w:fldChar w:fldCharType="end"/>
        </w:r>
      </w:hyperlink>
    </w:p>
    <w:p w14:paraId="3B55B918" w14:textId="4F74C51B" w:rsidR="00330860" w:rsidRDefault="000D71EB">
      <w:pPr>
        <w:pStyle w:val="31"/>
        <w:rPr>
          <w:rFonts w:asciiTheme="minorHAnsi" w:eastAsiaTheme="minorEastAsia" w:hAnsiTheme="minorHAnsi" w:cstheme="minorBidi"/>
          <w:kern w:val="2"/>
          <w:lang w:val="en-US" w:eastAsia="en-US"/>
          <w14:ligatures w14:val="standardContextual"/>
        </w:rPr>
      </w:pPr>
      <w:hyperlink w:anchor="_Toc223591150" w:history="1">
        <w:r w:rsidR="00330860" w:rsidRPr="00451799">
          <w:rPr>
            <w:rStyle w:val="a3"/>
          </w:rPr>
          <w:t>Российских пенсионеров ожидает плановое повышение выплат весной 2026 года. Согласно актуальным прогнозам, средний размер социальной пенсии после индексации, запланированной на 1 апреля, превысит отметку в 16,5 тысячи рублей. Данное решение затронет интересы более 4 миллионов граждан, чье материальное обеспечение напрямую зависит от государственных коэффициентов пересчета.</w:t>
        </w:r>
        <w:r w:rsidR="00330860">
          <w:rPr>
            <w:webHidden/>
          </w:rPr>
          <w:tab/>
        </w:r>
        <w:r w:rsidR="00330860">
          <w:rPr>
            <w:webHidden/>
          </w:rPr>
          <w:fldChar w:fldCharType="begin"/>
        </w:r>
        <w:r w:rsidR="00330860">
          <w:rPr>
            <w:webHidden/>
          </w:rPr>
          <w:instrText xml:space="preserve"> PAGEREF _Toc223591150 \h </w:instrText>
        </w:r>
        <w:r w:rsidR="00330860">
          <w:rPr>
            <w:webHidden/>
          </w:rPr>
        </w:r>
        <w:r w:rsidR="00330860">
          <w:rPr>
            <w:webHidden/>
          </w:rPr>
          <w:fldChar w:fldCharType="separate"/>
        </w:r>
        <w:r w:rsidR="00850ED7">
          <w:rPr>
            <w:webHidden/>
          </w:rPr>
          <w:t>48</w:t>
        </w:r>
        <w:r w:rsidR="00330860">
          <w:rPr>
            <w:webHidden/>
          </w:rPr>
          <w:fldChar w:fldCharType="end"/>
        </w:r>
      </w:hyperlink>
    </w:p>
    <w:p w14:paraId="62AAA190" w14:textId="04415D2C"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51" w:history="1">
        <w:r w:rsidR="00330860" w:rsidRPr="00451799">
          <w:rPr>
            <w:rStyle w:val="a3"/>
            <w:noProof/>
          </w:rPr>
          <w:t>PRIMPRESS, 04.03.2026, Доплата 1500 рублей: новая надбавка к пенсии за стаж до 1991 года</w:t>
        </w:r>
        <w:r w:rsidR="00330860">
          <w:rPr>
            <w:noProof/>
            <w:webHidden/>
          </w:rPr>
          <w:tab/>
        </w:r>
        <w:r w:rsidR="00330860">
          <w:rPr>
            <w:noProof/>
            <w:webHidden/>
          </w:rPr>
          <w:fldChar w:fldCharType="begin"/>
        </w:r>
        <w:r w:rsidR="00330860">
          <w:rPr>
            <w:noProof/>
            <w:webHidden/>
          </w:rPr>
          <w:instrText xml:space="preserve"> PAGEREF _Toc223591151 \h </w:instrText>
        </w:r>
        <w:r w:rsidR="00330860">
          <w:rPr>
            <w:noProof/>
            <w:webHidden/>
          </w:rPr>
        </w:r>
        <w:r w:rsidR="00330860">
          <w:rPr>
            <w:noProof/>
            <w:webHidden/>
          </w:rPr>
          <w:fldChar w:fldCharType="separate"/>
        </w:r>
        <w:r w:rsidR="00850ED7">
          <w:rPr>
            <w:noProof/>
            <w:webHidden/>
          </w:rPr>
          <w:t>50</w:t>
        </w:r>
        <w:r w:rsidR="00330860">
          <w:rPr>
            <w:noProof/>
            <w:webHidden/>
          </w:rPr>
          <w:fldChar w:fldCharType="end"/>
        </w:r>
      </w:hyperlink>
    </w:p>
    <w:p w14:paraId="4704F4F8" w14:textId="49ED4829" w:rsidR="00330860" w:rsidRDefault="000D71EB">
      <w:pPr>
        <w:pStyle w:val="31"/>
        <w:rPr>
          <w:rFonts w:asciiTheme="minorHAnsi" w:eastAsiaTheme="minorEastAsia" w:hAnsiTheme="minorHAnsi" w:cstheme="minorBidi"/>
          <w:kern w:val="2"/>
          <w:lang w:val="en-US" w:eastAsia="en-US"/>
          <w14:ligatures w14:val="standardContextual"/>
        </w:rPr>
      </w:pPr>
      <w:hyperlink w:anchor="_Toc223591152" w:history="1">
        <w:r w:rsidR="00330860" w:rsidRPr="00451799">
          <w:rPr>
            <w:rStyle w:val="a3"/>
          </w:rPr>
          <w:t>Пенсионерам с «советским» стажем стоит внимательнее отнестись к своим документам: всё больше регионов вводят отдельные надбавки за годы работы до 1991 года. В среднем речь идёт о прибавке порядка 1500 рублей, но главное — назначают её не автоматически, а только по заявлению и при подтверждении стажа.</w:t>
        </w:r>
        <w:r w:rsidR="00330860">
          <w:rPr>
            <w:webHidden/>
          </w:rPr>
          <w:tab/>
        </w:r>
        <w:r w:rsidR="00330860">
          <w:rPr>
            <w:webHidden/>
          </w:rPr>
          <w:fldChar w:fldCharType="begin"/>
        </w:r>
        <w:r w:rsidR="00330860">
          <w:rPr>
            <w:webHidden/>
          </w:rPr>
          <w:instrText xml:space="preserve"> PAGEREF _Toc223591152 \h </w:instrText>
        </w:r>
        <w:r w:rsidR="00330860">
          <w:rPr>
            <w:webHidden/>
          </w:rPr>
        </w:r>
        <w:r w:rsidR="00330860">
          <w:rPr>
            <w:webHidden/>
          </w:rPr>
          <w:fldChar w:fldCharType="separate"/>
        </w:r>
        <w:r w:rsidR="00850ED7">
          <w:rPr>
            <w:webHidden/>
          </w:rPr>
          <w:t>50</w:t>
        </w:r>
        <w:r w:rsidR="00330860">
          <w:rPr>
            <w:webHidden/>
          </w:rPr>
          <w:fldChar w:fldCharType="end"/>
        </w:r>
      </w:hyperlink>
    </w:p>
    <w:p w14:paraId="243697E6" w14:textId="34330C3A"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53" w:history="1">
        <w:r w:rsidR="00330860" w:rsidRPr="00451799">
          <w:rPr>
            <w:rStyle w:val="a3"/>
            <w:noProof/>
          </w:rPr>
          <w:t>PRIMPRESS, 04.03.2026, Какой бонус ждет пенсионеров, имеющих стаж более 30 лет</w:t>
        </w:r>
        <w:r w:rsidR="00330860">
          <w:rPr>
            <w:noProof/>
            <w:webHidden/>
          </w:rPr>
          <w:tab/>
        </w:r>
        <w:r w:rsidR="00330860">
          <w:rPr>
            <w:noProof/>
            <w:webHidden/>
          </w:rPr>
          <w:fldChar w:fldCharType="begin"/>
        </w:r>
        <w:r w:rsidR="00330860">
          <w:rPr>
            <w:noProof/>
            <w:webHidden/>
          </w:rPr>
          <w:instrText xml:space="preserve"> PAGEREF _Toc223591153 \h </w:instrText>
        </w:r>
        <w:r w:rsidR="00330860">
          <w:rPr>
            <w:noProof/>
            <w:webHidden/>
          </w:rPr>
        </w:r>
        <w:r w:rsidR="00330860">
          <w:rPr>
            <w:noProof/>
            <w:webHidden/>
          </w:rPr>
          <w:fldChar w:fldCharType="separate"/>
        </w:r>
        <w:r w:rsidR="00850ED7">
          <w:rPr>
            <w:noProof/>
            <w:webHidden/>
          </w:rPr>
          <w:t>51</w:t>
        </w:r>
        <w:r w:rsidR="00330860">
          <w:rPr>
            <w:noProof/>
            <w:webHidden/>
          </w:rPr>
          <w:fldChar w:fldCharType="end"/>
        </w:r>
      </w:hyperlink>
    </w:p>
    <w:p w14:paraId="5D6E292C" w14:textId="459A3CDE" w:rsidR="00330860" w:rsidRDefault="000D71EB">
      <w:pPr>
        <w:pStyle w:val="31"/>
        <w:rPr>
          <w:rFonts w:asciiTheme="minorHAnsi" w:eastAsiaTheme="minorEastAsia" w:hAnsiTheme="minorHAnsi" w:cstheme="minorBidi"/>
          <w:kern w:val="2"/>
          <w:lang w:val="en-US" w:eastAsia="en-US"/>
          <w14:ligatures w14:val="standardContextual"/>
        </w:rPr>
      </w:pPr>
      <w:hyperlink w:anchor="_Toc223591154" w:history="1">
        <w:r w:rsidR="00330860" w:rsidRPr="00451799">
          <w:rPr>
            <w:rStyle w:val="a3"/>
          </w:rPr>
          <w:t>Пенсионеры, у которых за плечами более 30 лет официального стажа, могут рассчитывать не только на базовую страховую пенсию, но и на дополнительные надбавки и льготы. Во многих регионах длинный трудовой путь становится основанием для ощутимого «бонуса» к доходу, но важно помнить: большую часть таких мер поддержки по-прежнему нужно оформлять самим, а не ждать автоматического перерасчёта.</w:t>
        </w:r>
        <w:r w:rsidR="00330860">
          <w:rPr>
            <w:webHidden/>
          </w:rPr>
          <w:tab/>
        </w:r>
        <w:r w:rsidR="00330860">
          <w:rPr>
            <w:webHidden/>
          </w:rPr>
          <w:fldChar w:fldCharType="begin"/>
        </w:r>
        <w:r w:rsidR="00330860">
          <w:rPr>
            <w:webHidden/>
          </w:rPr>
          <w:instrText xml:space="preserve"> PAGEREF _Toc223591154 \h </w:instrText>
        </w:r>
        <w:r w:rsidR="00330860">
          <w:rPr>
            <w:webHidden/>
          </w:rPr>
        </w:r>
        <w:r w:rsidR="00330860">
          <w:rPr>
            <w:webHidden/>
          </w:rPr>
          <w:fldChar w:fldCharType="separate"/>
        </w:r>
        <w:r w:rsidR="00850ED7">
          <w:rPr>
            <w:webHidden/>
          </w:rPr>
          <w:t>51</w:t>
        </w:r>
        <w:r w:rsidR="00330860">
          <w:rPr>
            <w:webHidden/>
          </w:rPr>
          <w:fldChar w:fldCharType="end"/>
        </w:r>
      </w:hyperlink>
    </w:p>
    <w:p w14:paraId="662E55EC" w14:textId="1AAB5B3E"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55" w:history="1">
        <w:r w:rsidR="00330860" w:rsidRPr="00451799">
          <w:rPr>
            <w:rStyle w:val="a3"/>
            <w:noProof/>
          </w:rPr>
          <w:t>PRIMPRESS, 04.03.2026, Что ждёт пенсионеров, у которых есть стаж с 1991 по 1998 год</w:t>
        </w:r>
        <w:r w:rsidR="00330860">
          <w:rPr>
            <w:noProof/>
            <w:webHidden/>
          </w:rPr>
          <w:tab/>
        </w:r>
        <w:r w:rsidR="00330860">
          <w:rPr>
            <w:noProof/>
            <w:webHidden/>
          </w:rPr>
          <w:fldChar w:fldCharType="begin"/>
        </w:r>
        <w:r w:rsidR="00330860">
          <w:rPr>
            <w:noProof/>
            <w:webHidden/>
          </w:rPr>
          <w:instrText xml:space="preserve"> PAGEREF _Toc223591155 \h </w:instrText>
        </w:r>
        <w:r w:rsidR="00330860">
          <w:rPr>
            <w:noProof/>
            <w:webHidden/>
          </w:rPr>
        </w:r>
        <w:r w:rsidR="00330860">
          <w:rPr>
            <w:noProof/>
            <w:webHidden/>
          </w:rPr>
          <w:fldChar w:fldCharType="separate"/>
        </w:r>
        <w:r w:rsidR="00850ED7">
          <w:rPr>
            <w:noProof/>
            <w:webHidden/>
          </w:rPr>
          <w:t>52</w:t>
        </w:r>
        <w:r w:rsidR="00330860">
          <w:rPr>
            <w:noProof/>
            <w:webHidden/>
          </w:rPr>
          <w:fldChar w:fldCharType="end"/>
        </w:r>
      </w:hyperlink>
    </w:p>
    <w:p w14:paraId="1AA32FE1" w14:textId="0DF604FC" w:rsidR="00330860" w:rsidRDefault="000D71EB">
      <w:pPr>
        <w:pStyle w:val="31"/>
        <w:rPr>
          <w:rFonts w:asciiTheme="minorHAnsi" w:eastAsiaTheme="minorEastAsia" w:hAnsiTheme="minorHAnsi" w:cstheme="minorBidi"/>
          <w:kern w:val="2"/>
          <w:lang w:val="en-US" w:eastAsia="en-US"/>
          <w14:ligatures w14:val="standardContextual"/>
        </w:rPr>
      </w:pPr>
      <w:hyperlink w:anchor="_Toc223591156" w:history="1">
        <w:r w:rsidR="00330860" w:rsidRPr="00451799">
          <w:rPr>
            <w:rStyle w:val="a3"/>
          </w:rPr>
          <w:t>У тех, кто работал в «лихие девяностые» и имеет стаж с 1991 по 1998 год, в ближайшее время могут появиться дополнительные возможности для перерасчёта пенсии. Речь идёт не о новой надбавке «автоматом», а о более внимательной оценке того, как учитывается этот период в пенсионных правах.</w:t>
        </w:r>
        <w:r w:rsidR="00330860">
          <w:rPr>
            <w:webHidden/>
          </w:rPr>
          <w:tab/>
        </w:r>
        <w:r w:rsidR="00330860">
          <w:rPr>
            <w:webHidden/>
          </w:rPr>
          <w:fldChar w:fldCharType="begin"/>
        </w:r>
        <w:r w:rsidR="00330860">
          <w:rPr>
            <w:webHidden/>
          </w:rPr>
          <w:instrText xml:space="preserve"> PAGEREF _Toc223591156 \h </w:instrText>
        </w:r>
        <w:r w:rsidR="00330860">
          <w:rPr>
            <w:webHidden/>
          </w:rPr>
        </w:r>
        <w:r w:rsidR="00330860">
          <w:rPr>
            <w:webHidden/>
          </w:rPr>
          <w:fldChar w:fldCharType="separate"/>
        </w:r>
        <w:r w:rsidR="00850ED7">
          <w:rPr>
            <w:webHidden/>
          </w:rPr>
          <w:t>52</w:t>
        </w:r>
        <w:r w:rsidR="00330860">
          <w:rPr>
            <w:webHidden/>
          </w:rPr>
          <w:fldChar w:fldCharType="end"/>
        </w:r>
      </w:hyperlink>
    </w:p>
    <w:p w14:paraId="017088DC" w14:textId="0EAB4586"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157" w:history="1">
        <w:r w:rsidR="00330860" w:rsidRPr="00451799">
          <w:rPr>
            <w:rStyle w:val="a3"/>
            <w:noProof/>
          </w:rPr>
          <w:t>НОВОСТИ МАКРОЭКОНОМИКИ</w:t>
        </w:r>
        <w:r w:rsidR="00330860">
          <w:rPr>
            <w:noProof/>
            <w:webHidden/>
          </w:rPr>
          <w:tab/>
        </w:r>
        <w:r w:rsidR="00330860">
          <w:rPr>
            <w:noProof/>
            <w:webHidden/>
          </w:rPr>
          <w:fldChar w:fldCharType="begin"/>
        </w:r>
        <w:r w:rsidR="00330860">
          <w:rPr>
            <w:noProof/>
            <w:webHidden/>
          </w:rPr>
          <w:instrText xml:space="preserve"> PAGEREF _Toc223591157 \h </w:instrText>
        </w:r>
        <w:r w:rsidR="00330860">
          <w:rPr>
            <w:noProof/>
            <w:webHidden/>
          </w:rPr>
        </w:r>
        <w:r w:rsidR="00330860">
          <w:rPr>
            <w:noProof/>
            <w:webHidden/>
          </w:rPr>
          <w:fldChar w:fldCharType="separate"/>
        </w:r>
        <w:r w:rsidR="00850ED7">
          <w:rPr>
            <w:noProof/>
            <w:webHidden/>
          </w:rPr>
          <w:t>54</w:t>
        </w:r>
        <w:r w:rsidR="00330860">
          <w:rPr>
            <w:noProof/>
            <w:webHidden/>
          </w:rPr>
          <w:fldChar w:fldCharType="end"/>
        </w:r>
      </w:hyperlink>
    </w:p>
    <w:p w14:paraId="553F0349" w14:textId="487F7DE3"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58" w:history="1">
        <w:r w:rsidR="00330860" w:rsidRPr="00451799">
          <w:rPr>
            <w:rStyle w:val="a3"/>
            <w:noProof/>
          </w:rPr>
          <w:t>Коммерсантъ, 05.03.2026, Долговой рынок выходит из спячки</w:t>
        </w:r>
        <w:r w:rsidR="00330860">
          <w:rPr>
            <w:noProof/>
            <w:webHidden/>
          </w:rPr>
          <w:tab/>
        </w:r>
        <w:r w:rsidR="00330860">
          <w:rPr>
            <w:noProof/>
            <w:webHidden/>
          </w:rPr>
          <w:fldChar w:fldCharType="begin"/>
        </w:r>
        <w:r w:rsidR="00330860">
          <w:rPr>
            <w:noProof/>
            <w:webHidden/>
          </w:rPr>
          <w:instrText xml:space="preserve"> PAGEREF _Toc223591158 \h </w:instrText>
        </w:r>
        <w:r w:rsidR="00330860">
          <w:rPr>
            <w:noProof/>
            <w:webHidden/>
          </w:rPr>
        </w:r>
        <w:r w:rsidR="00330860">
          <w:rPr>
            <w:noProof/>
            <w:webHidden/>
          </w:rPr>
          <w:fldChar w:fldCharType="separate"/>
        </w:r>
        <w:r w:rsidR="00850ED7">
          <w:rPr>
            <w:noProof/>
            <w:webHidden/>
          </w:rPr>
          <w:t>54</w:t>
        </w:r>
        <w:r w:rsidR="00330860">
          <w:rPr>
            <w:noProof/>
            <w:webHidden/>
          </w:rPr>
          <w:fldChar w:fldCharType="end"/>
        </w:r>
      </w:hyperlink>
    </w:p>
    <w:p w14:paraId="6D6DFD88" w14:textId="405DF706" w:rsidR="00330860" w:rsidRDefault="000D71EB">
      <w:pPr>
        <w:pStyle w:val="31"/>
        <w:rPr>
          <w:rFonts w:asciiTheme="minorHAnsi" w:eastAsiaTheme="minorEastAsia" w:hAnsiTheme="minorHAnsi" w:cstheme="minorBidi"/>
          <w:kern w:val="2"/>
          <w:lang w:val="en-US" w:eastAsia="en-US"/>
          <w14:ligatures w14:val="standardContextual"/>
        </w:rPr>
      </w:pPr>
      <w:hyperlink w:anchor="_Toc223591159" w:history="1">
        <w:r w:rsidR="00330860" w:rsidRPr="00451799">
          <w:rPr>
            <w:rStyle w:val="a3"/>
          </w:rPr>
          <w:t>Активность корпоративных заемщиков на долговом рынке в феврале 2026 года значительно выросла. По итогам месяца эмитенты разместили облигации более чем на 543 млрд руб.— вдвое больше, чем месяцем ранее. При этом объем размещений долговых бумаг второй месяц подряд остается ниже объема погашений облигаций. Впрочем, в марте участники рынка ждут увеличения активности эмитентов, в том числе за счет увеличения их потребности в рефинансировании выпусков облигаций и банковских кредитов.</w:t>
        </w:r>
        <w:r w:rsidR="00330860">
          <w:rPr>
            <w:webHidden/>
          </w:rPr>
          <w:tab/>
        </w:r>
        <w:r w:rsidR="00330860">
          <w:rPr>
            <w:webHidden/>
          </w:rPr>
          <w:fldChar w:fldCharType="begin"/>
        </w:r>
        <w:r w:rsidR="00330860">
          <w:rPr>
            <w:webHidden/>
          </w:rPr>
          <w:instrText xml:space="preserve"> PAGEREF _Toc223591159 \h </w:instrText>
        </w:r>
        <w:r w:rsidR="00330860">
          <w:rPr>
            <w:webHidden/>
          </w:rPr>
        </w:r>
        <w:r w:rsidR="00330860">
          <w:rPr>
            <w:webHidden/>
          </w:rPr>
          <w:fldChar w:fldCharType="separate"/>
        </w:r>
        <w:r w:rsidR="00850ED7">
          <w:rPr>
            <w:webHidden/>
          </w:rPr>
          <w:t>54</w:t>
        </w:r>
        <w:r w:rsidR="00330860">
          <w:rPr>
            <w:webHidden/>
          </w:rPr>
          <w:fldChar w:fldCharType="end"/>
        </w:r>
      </w:hyperlink>
    </w:p>
    <w:p w14:paraId="2FA432EF" w14:textId="2A1BD298"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60" w:history="1">
        <w:r w:rsidR="00330860" w:rsidRPr="00451799">
          <w:rPr>
            <w:rStyle w:val="a3"/>
            <w:noProof/>
          </w:rPr>
          <w:t>Ведомости, 04.03.2026, Минэк оценил спад ВВП в 2,1% в январе</w:t>
        </w:r>
        <w:r w:rsidR="00330860">
          <w:rPr>
            <w:noProof/>
            <w:webHidden/>
          </w:rPr>
          <w:tab/>
        </w:r>
        <w:r w:rsidR="00330860">
          <w:rPr>
            <w:noProof/>
            <w:webHidden/>
          </w:rPr>
          <w:fldChar w:fldCharType="begin"/>
        </w:r>
        <w:r w:rsidR="00330860">
          <w:rPr>
            <w:noProof/>
            <w:webHidden/>
          </w:rPr>
          <w:instrText xml:space="preserve"> PAGEREF _Toc223591160 \h </w:instrText>
        </w:r>
        <w:r w:rsidR="00330860">
          <w:rPr>
            <w:noProof/>
            <w:webHidden/>
          </w:rPr>
        </w:r>
        <w:r w:rsidR="00330860">
          <w:rPr>
            <w:noProof/>
            <w:webHidden/>
          </w:rPr>
          <w:fldChar w:fldCharType="separate"/>
        </w:r>
        <w:r w:rsidR="00850ED7">
          <w:rPr>
            <w:noProof/>
            <w:webHidden/>
          </w:rPr>
          <w:t>55</w:t>
        </w:r>
        <w:r w:rsidR="00330860">
          <w:rPr>
            <w:noProof/>
            <w:webHidden/>
          </w:rPr>
          <w:fldChar w:fldCharType="end"/>
        </w:r>
      </w:hyperlink>
    </w:p>
    <w:p w14:paraId="4942BD49" w14:textId="08F66E0E" w:rsidR="00330860" w:rsidRDefault="000D71EB">
      <w:pPr>
        <w:pStyle w:val="31"/>
        <w:rPr>
          <w:rFonts w:asciiTheme="minorHAnsi" w:eastAsiaTheme="minorEastAsia" w:hAnsiTheme="minorHAnsi" w:cstheme="minorBidi"/>
          <w:kern w:val="2"/>
          <w:lang w:val="en-US" w:eastAsia="en-US"/>
          <w14:ligatures w14:val="standardContextual"/>
        </w:rPr>
      </w:pPr>
      <w:hyperlink w:anchor="_Toc223591161" w:history="1">
        <w:r w:rsidR="00330860" w:rsidRPr="00451799">
          <w:rPr>
            <w:rStyle w:val="a3"/>
          </w:rPr>
          <w:t>ВВП России сократился в январе на 2,1% в годовом выражении, сообщает Минэкономразвития в обзоре «О текущей ситуации в экономике». По данным министерства, в декабре прошлого года фиксировался всплеск роста ВВП - 1,9% после 0,1% в ноябре. В целом за год экономика выросла на 1%.</w:t>
        </w:r>
        <w:r w:rsidR="00330860">
          <w:rPr>
            <w:webHidden/>
          </w:rPr>
          <w:tab/>
        </w:r>
        <w:r w:rsidR="00330860">
          <w:rPr>
            <w:webHidden/>
          </w:rPr>
          <w:fldChar w:fldCharType="begin"/>
        </w:r>
        <w:r w:rsidR="00330860">
          <w:rPr>
            <w:webHidden/>
          </w:rPr>
          <w:instrText xml:space="preserve"> PAGEREF _Toc223591161 \h </w:instrText>
        </w:r>
        <w:r w:rsidR="00330860">
          <w:rPr>
            <w:webHidden/>
          </w:rPr>
        </w:r>
        <w:r w:rsidR="00330860">
          <w:rPr>
            <w:webHidden/>
          </w:rPr>
          <w:fldChar w:fldCharType="separate"/>
        </w:r>
        <w:r w:rsidR="00850ED7">
          <w:rPr>
            <w:webHidden/>
          </w:rPr>
          <w:t>55</w:t>
        </w:r>
        <w:r w:rsidR="00330860">
          <w:rPr>
            <w:webHidden/>
          </w:rPr>
          <w:fldChar w:fldCharType="end"/>
        </w:r>
      </w:hyperlink>
    </w:p>
    <w:p w14:paraId="206477C8" w14:textId="2E098E2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62" w:history="1">
        <w:r w:rsidR="00330860" w:rsidRPr="00451799">
          <w:rPr>
            <w:rStyle w:val="a3"/>
            <w:noProof/>
          </w:rPr>
          <w:t>Ведомости, 04.03.2026, Минфин продал 13,2 млрд юаней из ФНБ для финансирования дефицита бюджета</w:t>
        </w:r>
        <w:r w:rsidR="00330860">
          <w:rPr>
            <w:noProof/>
            <w:webHidden/>
          </w:rPr>
          <w:tab/>
        </w:r>
        <w:r w:rsidR="00330860">
          <w:rPr>
            <w:noProof/>
            <w:webHidden/>
          </w:rPr>
          <w:fldChar w:fldCharType="begin"/>
        </w:r>
        <w:r w:rsidR="00330860">
          <w:rPr>
            <w:noProof/>
            <w:webHidden/>
          </w:rPr>
          <w:instrText xml:space="preserve"> PAGEREF _Toc223591162 \h </w:instrText>
        </w:r>
        <w:r w:rsidR="00330860">
          <w:rPr>
            <w:noProof/>
            <w:webHidden/>
          </w:rPr>
        </w:r>
        <w:r w:rsidR="00330860">
          <w:rPr>
            <w:noProof/>
            <w:webHidden/>
          </w:rPr>
          <w:fldChar w:fldCharType="separate"/>
        </w:r>
        <w:r w:rsidR="00850ED7">
          <w:rPr>
            <w:noProof/>
            <w:webHidden/>
          </w:rPr>
          <w:t>56</w:t>
        </w:r>
        <w:r w:rsidR="00330860">
          <w:rPr>
            <w:noProof/>
            <w:webHidden/>
          </w:rPr>
          <w:fldChar w:fldCharType="end"/>
        </w:r>
      </w:hyperlink>
    </w:p>
    <w:p w14:paraId="4953FA77" w14:textId="468CC465" w:rsidR="00330860" w:rsidRDefault="000D71EB">
      <w:pPr>
        <w:pStyle w:val="31"/>
        <w:rPr>
          <w:rFonts w:asciiTheme="minorHAnsi" w:eastAsiaTheme="minorEastAsia" w:hAnsiTheme="minorHAnsi" w:cstheme="minorBidi"/>
          <w:kern w:val="2"/>
          <w:lang w:val="en-US" w:eastAsia="en-US"/>
          <w14:ligatures w14:val="standardContextual"/>
        </w:rPr>
      </w:pPr>
      <w:hyperlink w:anchor="_Toc223591163" w:history="1">
        <w:r w:rsidR="00330860" w:rsidRPr="00451799">
          <w:rPr>
            <w:rStyle w:val="a3"/>
          </w:rPr>
          <w:t>Минфин РФ в феврале 2026 г. продал 13,2 млрд китайских юаней и 7,9 т золота из Фонда национального благосостояния (ФНБ) для финансирования дефицита федерального бюджета. Об этом говорится в сообщении министерства на его сайте.</w:t>
        </w:r>
        <w:r w:rsidR="00330860">
          <w:rPr>
            <w:webHidden/>
          </w:rPr>
          <w:tab/>
        </w:r>
        <w:r w:rsidR="00330860">
          <w:rPr>
            <w:webHidden/>
          </w:rPr>
          <w:fldChar w:fldCharType="begin"/>
        </w:r>
        <w:r w:rsidR="00330860">
          <w:rPr>
            <w:webHidden/>
          </w:rPr>
          <w:instrText xml:space="preserve"> PAGEREF _Toc223591163 \h </w:instrText>
        </w:r>
        <w:r w:rsidR="00330860">
          <w:rPr>
            <w:webHidden/>
          </w:rPr>
        </w:r>
        <w:r w:rsidR="00330860">
          <w:rPr>
            <w:webHidden/>
          </w:rPr>
          <w:fldChar w:fldCharType="separate"/>
        </w:r>
        <w:r w:rsidR="00850ED7">
          <w:rPr>
            <w:webHidden/>
          </w:rPr>
          <w:t>56</w:t>
        </w:r>
        <w:r w:rsidR="00330860">
          <w:rPr>
            <w:webHidden/>
          </w:rPr>
          <w:fldChar w:fldCharType="end"/>
        </w:r>
      </w:hyperlink>
    </w:p>
    <w:p w14:paraId="35BC73A9" w14:textId="28B9E568"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64" w:history="1">
        <w:r w:rsidR="00330860" w:rsidRPr="00451799">
          <w:rPr>
            <w:rStyle w:val="a3"/>
            <w:noProof/>
          </w:rPr>
          <w:t>Говорит Москва, 04.03.2026, Экономист посоветовал россиянам с капиталом 10-15 тыс. рублей вкладываться в ОФЗ</w:t>
        </w:r>
        <w:r w:rsidR="00330860">
          <w:rPr>
            <w:noProof/>
            <w:webHidden/>
          </w:rPr>
          <w:tab/>
        </w:r>
        <w:r w:rsidR="00330860">
          <w:rPr>
            <w:noProof/>
            <w:webHidden/>
          </w:rPr>
          <w:fldChar w:fldCharType="begin"/>
        </w:r>
        <w:r w:rsidR="00330860">
          <w:rPr>
            <w:noProof/>
            <w:webHidden/>
          </w:rPr>
          <w:instrText xml:space="preserve"> PAGEREF _Toc223591164 \h </w:instrText>
        </w:r>
        <w:r w:rsidR="00330860">
          <w:rPr>
            <w:noProof/>
            <w:webHidden/>
          </w:rPr>
        </w:r>
        <w:r w:rsidR="00330860">
          <w:rPr>
            <w:noProof/>
            <w:webHidden/>
          </w:rPr>
          <w:fldChar w:fldCharType="separate"/>
        </w:r>
        <w:r w:rsidR="00850ED7">
          <w:rPr>
            <w:noProof/>
            <w:webHidden/>
          </w:rPr>
          <w:t>57</w:t>
        </w:r>
        <w:r w:rsidR="00330860">
          <w:rPr>
            <w:noProof/>
            <w:webHidden/>
          </w:rPr>
          <w:fldChar w:fldCharType="end"/>
        </w:r>
      </w:hyperlink>
    </w:p>
    <w:p w14:paraId="19ADD85D" w14:textId="3F85CA9B" w:rsidR="00330860" w:rsidRDefault="000D71EB">
      <w:pPr>
        <w:pStyle w:val="31"/>
        <w:rPr>
          <w:rFonts w:asciiTheme="minorHAnsi" w:eastAsiaTheme="minorEastAsia" w:hAnsiTheme="minorHAnsi" w:cstheme="minorBidi"/>
          <w:kern w:val="2"/>
          <w:lang w:val="en-US" w:eastAsia="en-US"/>
          <w14:ligatures w14:val="standardContextual"/>
        </w:rPr>
      </w:pPr>
      <w:hyperlink w:anchor="_Toc223591165" w:history="1">
        <w:r w:rsidR="00330860" w:rsidRPr="00451799">
          <w:rPr>
            <w:rStyle w:val="a3"/>
          </w:rPr>
          <w:t>Облигации федерального займа «надёжнее», чем доходы по банковским депозитам. Это связано с тем, что государство «всеми ресурсами» несёт ответственность по своим ценным бумагам перед инвесторами. Такое мнение в эфире радиостанции «Говорит Москва» выразил профессор факультета экономических наук НИУ ВШЭ Николай Берзон.</w:t>
        </w:r>
        <w:r w:rsidR="00330860">
          <w:rPr>
            <w:webHidden/>
          </w:rPr>
          <w:tab/>
        </w:r>
        <w:r w:rsidR="00330860">
          <w:rPr>
            <w:webHidden/>
          </w:rPr>
          <w:fldChar w:fldCharType="begin"/>
        </w:r>
        <w:r w:rsidR="00330860">
          <w:rPr>
            <w:webHidden/>
          </w:rPr>
          <w:instrText xml:space="preserve"> PAGEREF _Toc223591165 \h </w:instrText>
        </w:r>
        <w:r w:rsidR="00330860">
          <w:rPr>
            <w:webHidden/>
          </w:rPr>
        </w:r>
        <w:r w:rsidR="00330860">
          <w:rPr>
            <w:webHidden/>
          </w:rPr>
          <w:fldChar w:fldCharType="separate"/>
        </w:r>
        <w:r w:rsidR="00850ED7">
          <w:rPr>
            <w:webHidden/>
          </w:rPr>
          <w:t>57</w:t>
        </w:r>
        <w:r w:rsidR="00330860">
          <w:rPr>
            <w:webHidden/>
          </w:rPr>
          <w:fldChar w:fldCharType="end"/>
        </w:r>
      </w:hyperlink>
    </w:p>
    <w:p w14:paraId="3D522394" w14:textId="2FFCCE5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66" w:history="1">
        <w:r w:rsidR="00330860" w:rsidRPr="00451799">
          <w:rPr>
            <w:rStyle w:val="a3"/>
            <w:noProof/>
          </w:rPr>
          <w:t>Монокль, 03.03.2026, Три стратегии в облигациях на 2026-й</w:t>
        </w:r>
        <w:r w:rsidR="00330860">
          <w:rPr>
            <w:noProof/>
            <w:webHidden/>
          </w:rPr>
          <w:tab/>
        </w:r>
        <w:r w:rsidR="00330860">
          <w:rPr>
            <w:noProof/>
            <w:webHidden/>
          </w:rPr>
          <w:fldChar w:fldCharType="begin"/>
        </w:r>
        <w:r w:rsidR="00330860">
          <w:rPr>
            <w:noProof/>
            <w:webHidden/>
          </w:rPr>
          <w:instrText xml:space="preserve"> PAGEREF _Toc223591166 \h </w:instrText>
        </w:r>
        <w:r w:rsidR="00330860">
          <w:rPr>
            <w:noProof/>
            <w:webHidden/>
          </w:rPr>
        </w:r>
        <w:r w:rsidR="00330860">
          <w:rPr>
            <w:noProof/>
            <w:webHidden/>
          </w:rPr>
          <w:fldChar w:fldCharType="separate"/>
        </w:r>
        <w:r w:rsidR="00850ED7">
          <w:rPr>
            <w:noProof/>
            <w:webHidden/>
          </w:rPr>
          <w:t>57</w:t>
        </w:r>
        <w:r w:rsidR="00330860">
          <w:rPr>
            <w:noProof/>
            <w:webHidden/>
          </w:rPr>
          <w:fldChar w:fldCharType="end"/>
        </w:r>
      </w:hyperlink>
    </w:p>
    <w:p w14:paraId="132BBCA9" w14:textId="498F985A" w:rsidR="00330860" w:rsidRDefault="000D71EB">
      <w:pPr>
        <w:pStyle w:val="31"/>
        <w:rPr>
          <w:rFonts w:asciiTheme="minorHAnsi" w:eastAsiaTheme="minorEastAsia" w:hAnsiTheme="minorHAnsi" w:cstheme="minorBidi"/>
          <w:kern w:val="2"/>
          <w:lang w:val="en-US" w:eastAsia="en-US"/>
          <w14:ligatures w14:val="standardContextual"/>
        </w:rPr>
      </w:pPr>
      <w:hyperlink w:anchor="_Toc223591167" w:history="1">
        <w:r w:rsidR="00330860" w:rsidRPr="00451799">
          <w:rPr>
            <w:rStyle w:val="a3"/>
          </w:rPr>
          <w:t>Покупка ОФЗ, покупка качественных корпоративных облигаций и покупка секьюритизированных бумаг — три основных стратегии, из которых частные инвесторы будут выбирать в этом году. Такой вывод можно сделать из услышанного на прошедшей в последний день февраля конференции Cbonds&amp;Smart-Lab PRO облигации.</w:t>
        </w:r>
        <w:r w:rsidR="00330860">
          <w:rPr>
            <w:webHidden/>
          </w:rPr>
          <w:tab/>
        </w:r>
        <w:r w:rsidR="00330860">
          <w:rPr>
            <w:webHidden/>
          </w:rPr>
          <w:fldChar w:fldCharType="begin"/>
        </w:r>
        <w:r w:rsidR="00330860">
          <w:rPr>
            <w:webHidden/>
          </w:rPr>
          <w:instrText xml:space="preserve"> PAGEREF _Toc223591167 \h </w:instrText>
        </w:r>
        <w:r w:rsidR="00330860">
          <w:rPr>
            <w:webHidden/>
          </w:rPr>
        </w:r>
        <w:r w:rsidR="00330860">
          <w:rPr>
            <w:webHidden/>
          </w:rPr>
          <w:fldChar w:fldCharType="separate"/>
        </w:r>
        <w:r w:rsidR="00850ED7">
          <w:rPr>
            <w:webHidden/>
          </w:rPr>
          <w:t>57</w:t>
        </w:r>
        <w:r w:rsidR="00330860">
          <w:rPr>
            <w:webHidden/>
          </w:rPr>
          <w:fldChar w:fldCharType="end"/>
        </w:r>
      </w:hyperlink>
    </w:p>
    <w:p w14:paraId="0FF15559" w14:textId="09B1EC57"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68" w:history="1">
        <w:r w:rsidR="00330860" w:rsidRPr="00451799">
          <w:rPr>
            <w:rStyle w:val="a3"/>
            <w:noProof/>
          </w:rPr>
          <w:t>РБК, 04.03.2026, Классы инвестиционных паев: как меняется структура ЗПИФ в марте 2026</w:t>
        </w:r>
        <w:r w:rsidR="00330860">
          <w:rPr>
            <w:noProof/>
            <w:webHidden/>
          </w:rPr>
          <w:tab/>
        </w:r>
        <w:r w:rsidR="00330860">
          <w:rPr>
            <w:noProof/>
            <w:webHidden/>
          </w:rPr>
          <w:fldChar w:fldCharType="begin"/>
        </w:r>
        <w:r w:rsidR="00330860">
          <w:rPr>
            <w:noProof/>
            <w:webHidden/>
          </w:rPr>
          <w:instrText xml:space="preserve"> PAGEREF _Toc223591168 \h </w:instrText>
        </w:r>
        <w:r w:rsidR="00330860">
          <w:rPr>
            <w:noProof/>
            <w:webHidden/>
          </w:rPr>
        </w:r>
        <w:r w:rsidR="00330860">
          <w:rPr>
            <w:noProof/>
            <w:webHidden/>
          </w:rPr>
          <w:fldChar w:fldCharType="separate"/>
        </w:r>
        <w:r w:rsidR="00850ED7">
          <w:rPr>
            <w:noProof/>
            <w:webHidden/>
          </w:rPr>
          <w:t>59</w:t>
        </w:r>
        <w:r w:rsidR="00330860">
          <w:rPr>
            <w:noProof/>
            <w:webHidden/>
          </w:rPr>
          <w:fldChar w:fldCharType="end"/>
        </w:r>
      </w:hyperlink>
    </w:p>
    <w:p w14:paraId="3863E26B" w14:textId="53C19124" w:rsidR="00330860" w:rsidRDefault="000D71EB">
      <w:pPr>
        <w:pStyle w:val="31"/>
        <w:rPr>
          <w:rFonts w:asciiTheme="minorHAnsi" w:eastAsiaTheme="minorEastAsia" w:hAnsiTheme="minorHAnsi" w:cstheme="minorBidi"/>
          <w:kern w:val="2"/>
          <w:lang w:val="en-US" w:eastAsia="en-US"/>
          <w14:ligatures w14:val="standardContextual"/>
        </w:rPr>
      </w:pPr>
      <w:hyperlink w:anchor="_Toc223591169" w:history="1">
        <w:r w:rsidR="00330860" w:rsidRPr="00451799">
          <w:rPr>
            <w:rStyle w:val="a3"/>
          </w:rPr>
          <w:t>Регулирование ЗПИФ меняется: управляющие компании могут по-новому оформлять участие инвесторов через несколько классов паев.</w:t>
        </w:r>
        <w:r w:rsidR="00330860">
          <w:rPr>
            <w:webHidden/>
          </w:rPr>
          <w:tab/>
        </w:r>
        <w:r w:rsidR="00330860">
          <w:rPr>
            <w:webHidden/>
          </w:rPr>
          <w:fldChar w:fldCharType="begin"/>
        </w:r>
        <w:r w:rsidR="00330860">
          <w:rPr>
            <w:webHidden/>
          </w:rPr>
          <w:instrText xml:space="preserve"> PAGEREF _Toc223591169 \h </w:instrText>
        </w:r>
        <w:r w:rsidR="00330860">
          <w:rPr>
            <w:webHidden/>
          </w:rPr>
        </w:r>
        <w:r w:rsidR="00330860">
          <w:rPr>
            <w:webHidden/>
          </w:rPr>
          <w:fldChar w:fldCharType="separate"/>
        </w:r>
        <w:r w:rsidR="00850ED7">
          <w:rPr>
            <w:webHidden/>
          </w:rPr>
          <w:t>59</w:t>
        </w:r>
        <w:r w:rsidR="00330860">
          <w:rPr>
            <w:webHidden/>
          </w:rPr>
          <w:fldChar w:fldCharType="end"/>
        </w:r>
      </w:hyperlink>
    </w:p>
    <w:p w14:paraId="6AF1E75A" w14:textId="0284CB98"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70" w:history="1">
        <w:r w:rsidR="00330860" w:rsidRPr="00451799">
          <w:rPr>
            <w:rStyle w:val="a3"/>
            <w:noProof/>
          </w:rPr>
          <w:t>РБК, 04.03.2026, ЦБ описал два сценария влияния корректировки бюджетного правила на ставку</w:t>
        </w:r>
        <w:r w:rsidR="00330860">
          <w:rPr>
            <w:noProof/>
            <w:webHidden/>
          </w:rPr>
          <w:tab/>
        </w:r>
        <w:r w:rsidR="00330860">
          <w:rPr>
            <w:noProof/>
            <w:webHidden/>
          </w:rPr>
          <w:fldChar w:fldCharType="begin"/>
        </w:r>
        <w:r w:rsidR="00330860">
          <w:rPr>
            <w:noProof/>
            <w:webHidden/>
          </w:rPr>
          <w:instrText xml:space="preserve"> PAGEREF _Toc223591170 \h </w:instrText>
        </w:r>
        <w:r w:rsidR="00330860">
          <w:rPr>
            <w:noProof/>
            <w:webHidden/>
          </w:rPr>
        </w:r>
        <w:r w:rsidR="00330860">
          <w:rPr>
            <w:noProof/>
            <w:webHidden/>
          </w:rPr>
          <w:fldChar w:fldCharType="separate"/>
        </w:r>
        <w:r w:rsidR="00850ED7">
          <w:rPr>
            <w:noProof/>
            <w:webHidden/>
          </w:rPr>
          <w:t>60</w:t>
        </w:r>
        <w:r w:rsidR="00330860">
          <w:rPr>
            <w:noProof/>
            <w:webHidden/>
          </w:rPr>
          <w:fldChar w:fldCharType="end"/>
        </w:r>
      </w:hyperlink>
    </w:p>
    <w:p w14:paraId="5D4568A5" w14:textId="36545BCD" w:rsidR="00330860" w:rsidRDefault="000D71EB">
      <w:pPr>
        <w:pStyle w:val="31"/>
        <w:rPr>
          <w:rFonts w:asciiTheme="minorHAnsi" w:eastAsiaTheme="minorEastAsia" w:hAnsiTheme="minorHAnsi" w:cstheme="minorBidi"/>
          <w:kern w:val="2"/>
          <w:lang w:val="en-US" w:eastAsia="en-US"/>
          <w14:ligatures w14:val="standardContextual"/>
        </w:rPr>
      </w:pPr>
      <w:hyperlink w:anchor="_Toc223591171" w:history="1">
        <w:r w:rsidR="00330860" w:rsidRPr="00451799">
          <w:rPr>
            <w:rStyle w:val="a3"/>
          </w:rPr>
          <w:t>Банк России заявил, что полностью оценить влияние возможных изменений параметров бюджетного правила на денежно-кредитную политику (ДКП) можно будет только после их официального анонсирования и утверждения. Это следует из поступившегося в РБК комментария Центробанка России.</w:t>
        </w:r>
        <w:r w:rsidR="00330860">
          <w:rPr>
            <w:webHidden/>
          </w:rPr>
          <w:tab/>
        </w:r>
        <w:r w:rsidR="00330860">
          <w:rPr>
            <w:webHidden/>
          </w:rPr>
          <w:fldChar w:fldCharType="begin"/>
        </w:r>
        <w:r w:rsidR="00330860">
          <w:rPr>
            <w:webHidden/>
          </w:rPr>
          <w:instrText xml:space="preserve"> PAGEREF _Toc223591171 \h </w:instrText>
        </w:r>
        <w:r w:rsidR="00330860">
          <w:rPr>
            <w:webHidden/>
          </w:rPr>
        </w:r>
        <w:r w:rsidR="00330860">
          <w:rPr>
            <w:webHidden/>
          </w:rPr>
          <w:fldChar w:fldCharType="separate"/>
        </w:r>
        <w:r w:rsidR="00850ED7">
          <w:rPr>
            <w:webHidden/>
          </w:rPr>
          <w:t>60</w:t>
        </w:r>
        <w:r w:rsidR="00330860">
          <w:rPr>
            <w:webHidden/>
          </w:rPr>
          <w:fldChar w:fldCharType="end"/>
        </w:r>
      </w:hyperlink>
    </w:p>
    <w:p w14:paraId="4ACC7302" w14:textId="4639E947"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72" w:history="1">
        <w:r w:rsidR="00330860" w:rsidRPr="00451799">
          <w:rPr>
            <w:rStyle w:val="a3"/>
            <w:noProof/>
          </w:rPr>
          <w:t>Интерфакс, 04.03.2026: Коллективные инвестиции станут драйвером роста капитализации фондового рынка</w:t>
        </w:r>
        <w:r w:rsidR="00330860">
          <w:rPr>
            <w:noProof/>
            <w:webHidden/>
          </w:rPr>
          <w:tab/>
        </w:r>
        <w:r w:rsidR="00330860">
          <w:rPr>
            <w:noProof/>
            <w:webHidden/>
          </w:rPr>
          <w:fldChar w:fldCharType="begin"/>
        </w:r>
        <w:r w:rsidR="00330860">
          <w:rPr>
            <w:noProof/>
            <w:webHidden/>
          </w:rPr>
          <w:instrText xml:space="preserve"> PAGEREF _Toc223591172 \h </w:instrText>
        </w:r>
        <w:r w:rsidR="00330860">
          <w:rPr>
            <w:noProof/>
            <w:webHidden/>
          </w:rPr>
        </w:r>
        <w:r w:rsidR="00330860">
          <w:rPr>
            <w:noProof/>
            <w:webHidden/>
          </w:rPr>
          <w:fldChar w:fldCharType="separate"/>
        </w:r>
        <w:r w:rsidR="00850ED7">
          <w:rPr>
            <w:noProof/>
            <w:webHidden/>
          </w:rPr>
          <w:t>61</w:t>
        </w:r>
        <w:r w:rsidR="00330860">
          <w:rPr>
            <w:noProof/>
            <w:webHidden/>
          </w:rPr>
          <w:fldChar w:fldCharType="end"/>
        </w:r>
      </w:hyperlink>
    </w:p>
    <w:p w14:paraId="2064F13D" w14:textId="2A6AD604" w:rsidR="00330860" w:rsidRDefault="000D71EB">
      <w:pPr>
        <w:pStyle w:val="31"/>
        <w:rPr>
          <w:rFonts w:asciiTheme="minorHAnsi" w:eastAsiaTheme="minorEastAsia" w:hAnsiTheme="minorHAnsi" w:cstheme="minorBidi"/>
          <w:kern w:val="2"/>
          <w:lang w:val="en-US" w:eastAsia="en-US"/>
          <w14:ligatures w14:val="standardContextual"/>
        </w:rPr>
      </w:pPr>
      <w:hyperlink w:anchor="_Toc223591173" w:history="1">
        <w:r w:rsidR="00330860" w:rsidRPr="00451799">
          <w:rPr>
            <w:rStyle w:val="a3"/>
          </w:rPr>
          <w:t xml:space="preserve">В период продолжительного цикла жесткой денежно-кредитной политики главными вызовами для российского фондового рынка стали рост инфляции, конкуренция с рынком депозитов, раскрытие информации, ликвидность предложений первичного и вторичного размещения, уровень доверия со стороны инвесторов. Для выполнения амбициозной задачи по удвоению капитализации рынка к 2030 году необходимо одновременно создать "длинный спрос" через коллективные инвестиции и долгосрочные сбережения, расширить предложение эмитентов и качество </w:t>
        </w:r>
        <w:r w:rsidR="00330860" w:rsidRPr="00451799">
          <w:rPr>
            <w:rStyle w:val="a3"/>
            <w:lang w:val="en-US"/>
          </w:rPr>
          <w:t>IPO</w:t>
        </w:r>
        <w:r w:rsidR="00330860" w:rsidRPr="00451799">
          <w:rPr>
            <w:rStyle w:val="a3"/>
          </w:rPr>
          <w:t xml:space="preserve">, сделать инфраструктуру рынка удобной, цифровой и понятной инвестору, говорить с инвестором на языке его целей и задач, заявил Алексей Жоголев, старший вице-президент, директор департамента управления благосостоянием ПСБ, выступая на сессии "Будущее рынка управления активами" в рамках </w:t>
        </w:r>
        <w:r w:rsidR="00330860" w:rsidRPr="00451799">
          <w:rPr>
            <w:rStyle w:val="a3"/>
            <w:lang w:val="en-US"/>
          </w:rPr>
          <w:t>II</w:t>
        </w:r>
        <w:r w:rsidR="00330860" w:rsidRPr="00451799">
          <w:rPr>
            <w:rStyle w:val="a3"/>
          </w:rPr>
          <w:t xml:space="preserve"> Форума лидеров рынка управления активами.</w:t>
        </w:r>
        <w:r w:rsidR="00330860">
          <w:rPr>
            <w:webHidden/>
          </w:rPr>
          <w:tab/>
        </w:r>
        <w:r w:rsidR="00330860">
          <w:rPr>
            <w:webHidden/>
          </w:rPr>
          <w:fldChar w:fldCharType="begin"/>
        </w:r>
        <w:r w:rsidR="00330860">
          <w:rPr>
            <w:webHidden/>
          </w:rPr>
          <w:instrText xml:space="preserve"> PAGEREF _Toc223591173 \h </w:instrText>
        </w:r>
        <w:r w:rsidR="00330860">
          <w:rPr>
            <w:webHidden/>
          </w:rPr>
        </w:r>
        <w:r w:rsidR="00330860">
          <w:rPr>
            <w:webHidden/>
          </w:rPr>
          <w:fldChar w:fldCharType="separate"/>
        </w:r>
        <w:r w:rsidR="00850ED7">
          <w:rPr>
            <w:webHidden/>
          </w:rPr>
          <w:t>61</w:t>
        </w:r>
        <w:r w:rsidR="00330860">
          <w:rPr>
            <w:webHidden/>
          </w:rPr>
          <w:fldChar w:fldCharType="end"/>
        </w:r>
      </w:hyperlink>
    </w:p>
    <w:p w14:paraId="5B877F02" w14:textId="4549034A"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74" w:history="1">
        <w:r w:rsidR="00330860" w:rsidRPr="00451799">
          <w:rPr>
            <w:rStyle w:val="a3"/>
            <w:noProof/>
          </w:rPr>
          <w:t>ТАСС, 04.03.2026, РКК создаст «Кабинеты долголетия» для бесплатной помощи людям старше 60 лет</w:t>
        </w:r>
        <w:r w:rsidR="00330860">
          <w:rPr>
            <w:noProof/>
            <w:webHidden/>
          </w:rPr>
          <w:tab/>
        </w:r>
        <w:r w:rsidR="00330860">
          <w:rPr>
            <w:noProof/>
            <w:webHidden/>
          </w:rPr>
          <w:fldChar w:fldCharType="begin"/>
        </w:r>
        <w:r w:rsidR="00330860">
          <w:rPr>
            <w:noProof/>
            <w:webHidden/>
          </w:rPr>
          <w:instrText xml:space="preserve"> PAGEREF _Toc223591174 \h </w:instrText>
        </w:r>
        <w:r w:rsidR="00330860">
          <w:rPr>
            <w:noProof/>
            <w:webHidden/>
          </w:rPr>
        </w:r>
        <w:r w:rsidR="00330860">
          <w:rPr>
            <w:noProof/>
            <w:webHidden/>
          </w:rPr>
          <w:fldChar w:fldCharType="separate"/>
        </w:r>
        <w:r w:rsidR="00850ED7">
          <w:rPr>
            <w:noProof/>
            <w:webHidden/>
          </w:rPr>
          <w:t>62</w:t>
        </w:r>
        <w:r w:rsidR="00330860">
          <w:rPr>
            <w:noProof/>
            <w:webHidden/>
          </w:rPr>
          <w:fldChar w:fldCharType="end"/>
        </w:r>
      </w:hyperlink>
    </w:p>
    <w:p w14:paraId="7820655C" w14:textId="0BA8EE83" w:rsidR="00330860" w:rsidRDefault="000D71EB">
      <w:pPr>
        <w:pStyle w:val="31"/>
        <w:rPr>
          <w:rFonts w:asciiTheme="minorHAnsi" w:eastAsiaTheme="minorEastAsia" w:hAnsiTheme="minorHAnsi" w:cstheme="minorBidi"/>
          <w:kern w:val="2"/>
          <w:lang w:val="en-US" w:eastAsia="en-US"/>
          <w14:ligatures w14:val="standardContextual"/>
        </w:rPr>
      </w:pPr>
      <w:hyperlink w:anchor="_Toc223591175" w:history="1">
        <w:r w:rsidR="00330860" w:rsidRPr="00451799">
          <w:rPr>
            <w:rStyle w:val="a3"/>
          </w:rPr>
          <w:t>Российский Красный Крест (РКК) откроет «кабинеты долголетия» для бесплатной медицинской поддержки на базе 41 регионального отделения организации. Люди старше 60 лет смогут пройти там первичную оценку состояния здоровья, сообщает пресс-служба РКК.</w:t>
        </w:r>
        <w:r w:rsidR="00330860">
          <w:rPr>
            <w:webHidden/>
          </w:rPr>
          <w:tab/>
        </w:r>
        <w:r w:rsidR="00330860">
          <w:rPr>
            <w:webHidden/>
          </w:rPr>
          <w:fldChar w:fldCharType="begin"/>
        </w:r>
        <w:r w:rsidR="00330860">
          <w:rPr>
            <w:webHidden/>
          </w:rPr>
          <w:instrText xml:space="preserve"> PAGEREF _Toc223591175 \h </w:instrText>
        </w:r>
        <w:r w:rsidR="00330860">
          <w:rPr>
            <w:webHidden/>
          </w:rPr>
        </w:r>
        <w:r w:rsidR="00330860">
          <w:rPr>
            <w:webHidden/>
          </w:rPr>
          <w:fldChar w:fldCharType="separate"/>
        </w:r>
        <w:r w:rsidR="00850ED7">
          <w:rPr>
            <w:webHidden/>
          </w:rPr>
          <w:t>62</w:t>
        </w:r>
        <w:r w:rsidR="00330860">
          <w:rPr>
            <w:webHidden/>
          </w:rPr>
          <w:fldChar w:fldCharType="end"/>
        </w:r>
      </w:hyperlink>
    </w:p>
    <w:p w14:paraId="0DDD815F" w14:textId="32FEC5C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76" w:history="1">
        <w:r w:rsidR="00330860" w:rsidRPr="00451799">
          <w:rPr>
            <w:rStyle w:val="a3"/>
            <w:noProof/>
          </w:rPr>
          <w:t>MoneyTimes.Ru, 04.03.2026, Манят прибылью, а дохода нет: эти ошибки начинающие инвесторы совершают чаще всего</w:t>
        </w:r>
        <w:r w:rsidR="00330860">
          <w:rPr>
            <w:noProof/>
            <w:webHidden/>
          </w:rPr>
          <w:tab/>
        </w:r>
        <w:r w:rsidR="00330860">
          <w:rPr>
            <w:noProof/>
            <w:webHidden/>
          </w:rPr>
          <w:fldChar w:fldCharType="begin"/>
        </w:r>
        <w:r w:rsidR="00330860">
          <w:rPr>
            <w:noProof/>
            <w:webHidden/>
          </w:rPr>
          <w:instrText xml:space="preserve"> PAGEREF _Toc223591176 \h </w:instrText>
        </w:r>
        <w:r w:rsidR="00330860">
          <w:rPr>
            <w:noProof/>
            <w:webHidden/>
          </w:rPr>
        </w:r>
        <w:r w:rsidR="00330860">
          <w:rPr>
            <w:noProof/>
            <w:webHidden/>
          </w:rPr>
          <w:fldChar w:fldCharType="separate"/>
        </w:r>
        <w:r w:rsidR="00850ED7">
          <w:rPr>
            <w:noProof/>
            <w:webHidden/>
          </w:rPr>
          <w:t>63</w:t>
        </w:r>
        <w:r w:rsidR="00330860">
          <w:rPr>
            <w:noProof/>
            <w:webHidden/>
          </w:rPr>
          <w:fldChar w:fldCharType="end"/>
        </w:r>
      </w:hyperlink>
    </w:p>
    <w:p w14:paraId="05B8D23C" w14:textId="6264BCC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77" w:history="1">
        <w:r w:rsidR="00330860" w:rsidRPr="00451799">
          <w:rPr>
            <w:rStyle w:val="a3"/>
          </w:rPr>
          <w:t>Инвестиции подходят только для долгосрочных целей и не терпят ожиданий "волшебной" доходности, подчеркнул независимый финансовый советник, руководитель проекта "Рост Сбережений" Сергей Кикевич. В комментарии MoneyTimes он перечислил типичные ошибки новичков и объяснил, как их избежать.</w:t>
        </w:r>
        <w:r w:rsidR="00330860">
          <w:rPr>
            <w:webHidden/>
          </w:rPr>
          <w:tab/>
        </w:r>
        <w:r w:rsidR="00330860">
          <w:rPr>
            <w:webHidden/>
          </w:rPr>
          <w:fldChar w:fldCharType="begin"/>
        </w:r>
        <w:r w:rsidR="00330860">
          <w:rPr>
            <w:webHidden/>
          </w:rPr>
          <w:instrText xml:space="preserve"> PAGEREF _Toc223591177 \h </w:instrText>
        </w:r>
        <w:r w:rsidR="00330860">
          <w:rPr>
            <w:webHidden/>
          </w:rPr>
        </w:r>
        <w:r w:rsidR="00330860">
          <w:rPr>
            <w:webHidden/>
          </w:rPr>
          <w:fldChar w:fldCharType="separate"/>
        </w:r>
        <w:r w:rsidR="00850ED7">
          <w:rPr>
            <w:webHidden/>
          </w:rPr>
          <w:t>63</w:t>
        </w:r>
        <w:r w:rsidR="00330860">
          <w:rPr>
            <w:webHidden/>
          </w:rPr>
          <w:fldChar w:fldCharType="end"/>
        </w:r>
      </w:hyperlink>
    </w:p>
    <w:p w14:paraId="1E660E88" w14:textId="65ECB76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78" w:history="1">
        <w:r w:rsidR="00330860" w:rsidRPr="00451799">
          <w:rPr>
            <w:rStyle w:val="a3"/>
            <w:noProof/>
            <w:lang w:val="en-US"/>
          </w:rPr>
          <w:t>NEWS</w:t>
        </w:r>
        <w:r w:rsidR="00330860" w:rsidRPr="00451799">
          <w:rPr>
            <w:rStyle w:val="a3"/>
            <w:noProof/>
          </w:rPr>
          <w:t>.</w:t>
        </w:r>
        <w:r w:rsidR="00330860" w:rsidRPr="00451799">
          <w:rPr>
            <w:rStyle w:val="a3"/>
            <w:noProof/>
            <w:lang w:val="en-US"/>
          </w:rPr>
          <w:t>ru</w:t>
        </w:r>
        <w:r w:rsidR="00330860" w:rsidRPr="00451799">
          <w:rPr>
            <w:rStyle w:val="a3"/>
            <w:noProof/>
          </w:rPr>
          <w:t>, 04.03.2026, Путин назвал способ повысить эффективность экономики россии</w:t>
        </w:r>
        <w:r w:rsidR="00330860">
          <w:rPr>
            <w:noProof/>
            <w:webHidden/>
          </w:rPr>
          <w:tab/>
        </w:r>
        <w:r w:rsidR="00330860">
          <w:rPr>
            <w:noProof/>
            <w:webHidden/>
          </w:rPr>
          <w:fldChar w:fldCharType="begin"/>
        </w:r>
        <w:r w:rsidR="00330860">
          <w:rPr>
            <w:noProof/>
            <w:webHidden/>
          </w:rPr>
          <w:instrText xml:space="preserve"> PAGEREF _Toc223591178 \h </w:instrText>
        </w:r>
        <w:r w:rsidR="00330860">
          <w:rPr>
            <w:noProof/>
            <w:webHidden/>
          </w:rPr>
        </w:r>
        <w:r w:rsidR="00330860">
          <w:rPr>
            <w:noProof/>
            <w:webHidden/>
          </w:rPr>
          <w:fldChar w:fldCharType="separate"/>
        </w:r>
        <w:r w:rsidR="00850ED7">
          <w:rPr>
            <w:noProof/>
            <w:webHidden/>
          </w:rPr>
          <w:t>64</w:t>
        </w:r>
        <w:r w:rsidR="00330860">
          <w:rPr>
            <w:noProof/>
            <w:webHidden/>
          </w:rPr>
          <w:fldChar w:fldCharType="end"/>
        </w:r>
      </w:hyperlink>
    </w:p>
    <w:p w14:paraId="4C483CDD" w14:textId="7891BC02" w:rsidR="00330860" w:rsidRDefault="000D71EB">
      <w:pPr>
        <w:pStyle w:val="31"/>
        <w:rPr>
          <w:rFonts w:asciiTheme="minorHAnsi" w:eastAsiaTheme="minorEastAsia" w:hAnsiTheme="minorHAnsi" w:cstheme="minorBidi"/>
          <w:kern w:val="2"/>
          <w:lang w:val="en-US" w:eastAsia="en-US"/>
          <w14:ligatures w14:val="standardContextual"/>
        </w:rPr>
      </w:pPr>
      <w:hyperlink w:anchor="_Toc223591179" w:history="1">
        <w:r w:rsidR="00330860" w:rsidRPr="00451799">
          <w:rPr>
            <w:rStyle w:val="a3"/>
          </w:rPr>
          <w:t>Российскую экономику необходимо сделать более эффективной за счет создания современных и хорошо оплачиваемых рабочих мест, заявил президент РФ Владимир Путин на совещании по экономическим вопросам, трансляция доступна на сайте Кремля. Он поручил правительству уделить повышенное внимание улучшению структуры занятости в стране.</w:t>
        </w:r>
        <w:r w:rsidR="00330860">
          <w:rPr>
            <w:webHidden/>
          </w:rPr>
          <w:tab/>
        </w:r>
        <w:r w:rsidR="00330860">
          <w:rPr>
            <w:webHidden/>
          </w:rPr>
          <w:fldChar w:fldCharType="begin"/>
        </w:r>
        <w:r w:rsidR="00330860">
          <w:rPr>
            <w:webHidden/>
          </w:rPr>
          <w:instrText xml:space="preserve"> PAGEREF _Toc223591179 \h </w:instrText>
        </w:r>
        <w:r w:rsidR="00330860">
          <w:rPr>
            <w:webHidden/>
          </w:rPr>
        </w:r>
        <w:r w:rsidR="00330860">
          <w:rPr>
            <w:webHidden/>
          </w:rPr>
          <w:fldChar w:fldCharType="separate"/>
        </w:r>
        <w:r w:rsidR="00850ED7">
          <w:rPr>
            <w:webHidden/>
          </w:rPr>
          <w:t>64</w:t>
        </w:r>
        <w:r w:rsidR="00330860">
          <w:rPr>
            <w:webHidden/>
          </w:rPr>
          <w:fldChar w:fldCharType="end"/>
        </w:r>
      </w:hyperlink>
    </w:p>
    <w:p w14:paraId="0A53D2BD" w14:textId="6FEA242B"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80" w:history="1">
        <w:r w:rsidR="00330860" w:rsidRPr="00451799">
          <w:rPr>
            <w:rStyle w:val="a3"/>
            <w:noProof/>
          </w:rPr>
          <w:t>Spark.ru, 04.03.2026, Налоги 2026: 13 изменений, которые работают в пользу бизнеса</w:t>
        </w:r>
        <w:r w:rsidR="00330860">
          <w:rPr>
            <w:noProof/>
            <w:webHidden/>
          </w:rPr>
          <w:tab/>
        </w:r>
        <w:r w:rsidR="00330860">
          <w:rPr>
            <w:noProof/>
            <w:webHidden/>
          </w:rPr>
          <w:fldChar w:fldCharType="begin"/>
        </w:r>
        <w:r w:rsidR="00330860">
          <w:rPr>
            <w:noProof/>
            <w:webHidden/>
          </w:rPr>
          <w:instrText xml:space="preserve"> PAGEREF _Toc223591180 \h </w:instrText>
        </w:r>
        <w:r w:rsidR="00330860">
          <w:rPr>
            <w:noProof/>
            <w:webHidden/>
          </w:rPr>
        </w:r>
        <w:r w:rsidR="00330860">
          <w:rPr>
            <w:noProof/>
            <w:webHidden/>
          </w:rPr>
          <w:fldChar w:fldCharType="separate"/>
        </w:r>
        <w:r w:rsidR="00850ED7">
          <w:rPr>
            <w:noProof/>
            <w:webHidden/>
          </w:rPr>
          <w:t>64</w:t>
        </w:r>
        <w:r w:rsidR="00330860">
          <w:rPr>
            <w:noProof/>
            <w:webHidden/>
          </w:rPr>
          <w:fldChar w:fldCharType="end"/>
        </w:r>
      </w:hyperlink>
    </w:p>
    <w:p w14:paraId="4CC85814" w14:textId="6A8F6B6E" w:rsidR="00330860" w:rsidRDefault="000D71EB">
      <w:pPr>
        <w:pStyle w:val="31"/>
        <w:rPr>
          <w:rFonts w:asciiTheme="minorHAnsi" w:eastAsiaTheme="minorEastAsia" w:hAnsiTheme="minorHAnsi" w:cstheme="minorBidi"/>
          <w:kern w:val="2"/>
          <w:lang w:val="en-US" w:eastAsia="en-US"/>
          <w14:ligatures w14:val="standardContextual"/>
        </w:rPr>
      </w:pPr>
      <w:hyperlink w:anchor="_Toc223591181" w:history="1">
        <w:r w:rsidR="00330860" w:rsidRPr="00451799">
          <w:rPr>
            <w:rStyle w:val="a3"/>
          </w:rPr>
          <w:t>Налоговая реформа 2026 года воспринимается бизнес-сообществом преимущественно негативно - и небезосновательно. Повышение НДС до 22%, прогрессивная шкала НДФЛ, обязательный НДС для упрощенцев с доходом свыше 20 млн - всё это увеличивает нагрузку.</w:t>
        </w:r>
        <w:r w:rsidR="00330860">
          <w:rPr>
            <w:webHidden/>
          </w:rPr>
          <w:tab/>
        </w:r>
        <w:r w:rsidR="00330860">
          <w:rPr>
            <w:webHidden/>
          </w:rPr>
          <w:fldChar w:fldCharType="begin"/>
        </w:r>
        <w:r w:rsidR="00330860">
          <w:rPr>
            <w:webHidden/>
          </w:rPr>
          <w:instrText xml:space="preserve"> PAGEREF _Toc223591181 \h </w:instrText>
        </w:r>
        <w:r w:rsidR="00330860">
          <w:rPr>
            <w:webHidden/>
          </w:rPr>
        </w:r>
        <w:r w:rsidR="00330860">
          <w:rPr>
            <w:webHidden/>
          </w:rPr>
          <w:fldChar w:fldCharType="separate"/>
        </w:r>
        <w:r w:rsidR="00850ED7">
          <w:rPr>
            <w:webHidden/>
          </w:rPr>
          <w:t>64</w:t>
        </w:r>
        <w:r w:rsidR="00330860">
          <w:rPr>
            <w:webHidden/>
          </w:rPr>
          <w:fldChar w:fldCharType="end"/>
        </w:r>
      </w:hyperlink>
    </w:p>
    <w:p w14:paraId="3CE7D2AE" w14:textId="34A064E4"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82" w:history="1">
        <w:r w:rsidR="00330860" w:rsidRPr="00451799">
          <w:rPr>
            <w:rStyle w:val="a3"/>
            <w:noProof/>
          </w:rPr>
          <w:t>МК, 04.03.2026, Соискатели старше 50-55 лет могут составить значительную конкуренцию зумерам на ряде должностей</w:t>
        </w:r>
        <w:r w:rsidR="00330860">
          <w:rPr>
            <w:noProof/>
            <w:webHidden/>
          </w:rPr>
          <w:tab/>
        </w:r>
        <w:r w:rsidR="00330860">
          <w:rPr>
            <w:noProof/>
            <w:webHidden/>
          </w:rPr>
          <w:fldChar w:fldCharType="begin"/>
        </w:r>
        <w:r w:rsidR="00330860">
          <w:rPr>
            <w:noProof/>
            <w:webHidden/>
          </w:rPr>
          <w:instrText xml:space="preserve"> PAGEREF _Toc223591182 \h </w:instrText>
        </w:r>
        <w:r w:rsidR="00330860">
          <w:rPr>
            <w:noProof/>
            <w:webHidden/>
          </w:rPr>
        </w:r>
        <w:r w:rsidR="00330860">
          <w:rPr>
            <w:noProof/>
            <w:webHidden/>
          </w:rPr>
          <w:fldChar w:fldCharType="separate"/>
        </w:r>
        <w:r w:rsidR="00850ED7">
          <w:rPr>
            <w:noProof/>
            <w:webHidden/>
          </w:rPr>
          <w:t>67</w:t>
        </w:r>
        <w:r w:rsidR="00330860">
          <w:rPr>
            <w:noProof/>
            <w:webHidden/>
          </w:rPr>
          <w:fldChar w:fldCharType="end"/>
        </w:r>
      </w:hyperlink>
    </w:p>
    <w:p w14:paraId="248A27C4" w14:textId="4BFA5C49" w:rsidR="00330860" w:rsidRDefault="000D71EB">
      <w:pPr>
        <w:pStyle w:val="31"/>
        <w:rPr>
          <w:rFonts w:asciiTheme="minorHAnsi" w:eastAsiaTheme="minorEastAsia" w:hAnsiTheme="minorHAnsi" w:cstheme="minorBidi"/>
          <w:kern w:val="2"/>
          <w:lang w:val="en-US" w:eastAsia="en-US"/>
          <w14:ligatures w14:val="standardContextual"/>
        </w:rPr>
      </w:pPr>
      <w:hyperlink w:anchor="_Toc223591183" w:history="1">
        <w:r w:rsidR="00330860" w:rsidRPr="00451799">
          <w:rPr>
            <w:rStyle w:val="a3"/>
          </w:rPr>
          <w:t>У работников старшего возраста - выше 50-55 лет - есть все шансы заменить на некоторых должностях зумеров. Такую мысль высказали на прошедшем в Краснодаре круглом столе ряд экспертов. «К 2032 году прогнозируется сокращение численности наиболее активных групп (это 30-44 года) при росте доли молодежи 15-29 лет и предпенсионеров 55-59 лет», - рассказала о тенденции и.о. замминистра труда и социального развития Краснодарского края Наталья Худжина. Она также отметила, что целый ряд госпрограмм работает для того, чтобы помочь старшим соискателям адаптироваться на рынке труда. Основным препятствием для себя они обычно называют высокую стоимость обучения и цифровой барьер.</w:t>
        </w:r>
        <w:r w:rsidR="00330860">
          <w:rPr>
            <w:webHidden/>
          </w:rPr>
          <w:tab/>
        </w:r>
        <w:r w:rsidR="00330860">
          <w:rPr>
            <w:webHidden/>
          </w:rPr>
          <w:fldChar w:fldCharType="begin"/>
        </w:r>
        <w:r w:rsidR="00330860">
          <w:rPr>
            <w:webHidden/>
          </w:rPr>
          <w:instrText xml:space="preserve"> PAGEREF _Toc223591183 \h </w:instrText>
        </w:r>
        <w:r w:rsidR="00330860">
          <w:rPr>
            <w:webHidden/>
          </w:rPr>
        </w:r>
        <w:r w:rsidR="00330860">
          <w:rPr>
            <w:webHidden/>
          </w:rPr>
          <w:fldChar w:fldCharType="separate"/>
        </w:r>
        <w:r w:rsidR="00850ED7">
          <w:rPr>
            <w:webHidden/>
          </w:rPr>
          <w:t>67</w:t>
        </w:r>
        <w:r w:rsidR="00330860">
          <w:rPr>
            <w:webHidden/>
          </w:rPr>
          <w:fldChar w:fldCharType="end"/>
        </w:r>
      </w:hyperlink>
    </w:p>
    <w:p w14:paraId="632459C6" w14:textId="1E3BC1F2"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84" w:history="1">
        <w:r w:rsidR="00330860" w:rsidRPr="00451799">
          <w:rPr>
            <w:rStyle w:val="a3"/>
            <w:noProof/>
          </w:rPr>
          <w:t>Главбух, 04.03.2026, Средняя зарплата по регионам РФ в 2026 году: таблица новых сумм</w:t>
        </w:r>
        <w:r w:rsidR="00330860">
          <w:rPr>
            <w:noProof/>
            <w:webHidden/>
          </w:rPr>
          <w:tab/>
        </w:r>
        <w:r w:rsidR="00330860">
          <w:rPr>
            <w:noProof/>
            <w:webHidden/>
          </w:rPr>
          <w:fldChar w:fldCharType="begin"/>
        </w:r>
        <w:r w:rsidR="00330860">
          <w:rPr>
            <w:noProof/>
            <w:webHidden/>
          </w:rPr>
          <w:instrText xml:space="preserve"> PAGEREF _Toc223591184 \h </w:instrText>
        </w:r>
        <w:r w:rsidR="00330860">
          <w:rPr>
            <w:noProof/>
            <w:webHidden/>
          </w:rPr>
        </w:r>
        <w:r w:rsidR="00330860">
          <w:rPr>
            <w:noProof/>
            <w:webHidden/>
          </w:rPr>
          <w:fldChar w:fldCharType="separate"/>
        </w:r>
        <w:r w:rsidR="00850ED7">
          <w:rPr>
            <w:noProof/>
            <w:webHidden/>
          </w:rPr>
          <w:t>68</w:t>
        </w:r>
        <w:r w:rsidR="00330860">
          <w:rPr>
            <w:noProof/>
            <w:webHidden/>
          </w:rPr>
          <w:fldChar w:fldCharType="end"/>
        </w:r>
      </w:hyperlink>
    </w:p>
    <w:p w14:paraId="0494FD64" w14:textId="1E553FB2" w:rsidR="00330860" w:rsidRDefault="000D71EB">
      <w:pPr>
        <w:pStyle w:val="31"/>
        <w:rPr>
          <w:rFonts w:asciiTheme="minorHAnsi" w:eastAsiaTheme="minorEastAsia" w:hAnsiTheme="minorHAnsi" w:cstheme="minorBidi"/>
          <w:kern w:val="2"/>
          <w:lang w:val="en-US" w:eastAsia="en-US"/>
          <w14:ligatures w14:val="standardContextual"/>
        </w:rPr>
      </w:pPr>
      <w:hyperlink w:anchor="_Toc223591185" w:history="1">
        <w:r w:rsidR="00330860" w:rsidRPr="00451799">
          <w:rPr>
            <w:rStyle w:val="a3"/>
          </w:rPr>
          <w:t>Средняя зарплата в РФ в 2026 году - 98 193 руб. Узнайте, грозит ли вашей компании проверка из-за низкой зарплаты. Наша таблица с уровнем средней зарплаты по всем регионам России от Росстата поможет оценить риски ФНС и избежать вызова на комиссию.</w:t>
        </w:r>
        <w:r w:rsidR="00330860">
          <w:rPr>
            <w:webHidden/>
          </w:rPr>
          <w:tab/>
        </w:r>
        <w:r w:rsidR="00330860">
          <w:rPr>
            <w:webHidden/>
          </w:rPr>
          <w:fldChar w:fldCharType="begin"/>
        </w:r>
        <w:r w:rsidR="00330860">
          <w:rPr>
            <w:webHidden/>
          </w:rPr>
          <w:instrText xml:space="preserve"> PAGEREF _Toc223591185 \h </w:instrText>
        </w:r>
        <w:r w:rsidR="00330860">
          <w:rPr>
            <w:webHidden/>
          </w:rPr>
        </w:r>
        <w:r w:rsidR="00330860">
          <w:rPr>
            <w:webHidden/>
          </w:rPr>
          <w:fldChar w:fldCharType="separate"/>
        </w:r>
        <w:r w:rsidR="00850ED7">
          <w:rPr>
            <w:webHidden/>
          </w:rPr>
          <w:t>68</w:t>
        </w:r>
        <w:r w:rsidR="00330860">
          <w:rPr>
            <w:webHidden/>
          </w:rPr>
          <w:fldChar w:fldCharType="end"/>
        </w:r>
      </w:hyperlink>
    </w:p>
    <w:p w14:paraId="62C98D7D" w14:textId="133C804E"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86" w:history="1">
        <w:r w:rsidR="00330860" w:rsidRPr="00451799">
          <w:rPr>
            <w:rStyle w:val="a3"/>
            <w:noProof/>
            <w:lang w:val="en-US"/>
          </w:rPr>
          <w:t>Pravda</w:t>
        </w:r>
        <w:r w:rsidR="00330860" w:rsidRPr="00451799">
          <w:rPr>
            <w:rStyle w:val="a3"/>
            <w:noProof/>
          </w:rPr>
          <w:t>.</w:t>
        </w:r>
        <w:r w:rsidR="00330860" w:rsidRPr="00451799">
          <w:rPr>
            <w:rStyle w:val="a3"/>
            <w:noProof/>
            <w:lang w:val="en-US"/>
          </w:rPr>
          <w:t>ru</w:t>
        </w:r>
        <w:r w:rsidR="00330860" w:rsidRPr="00451799">
          <w:rPr>
            <w:rStyle w:val="a3"/>
            <w:noProof/>
          </w:rPr>
          <w:t>, 04.03.2026, Цены впали в весеннюю спячку: недельная инфляция в стране упала до рекордного минимума года</w:t>
        </w:r>
        <w:r w:rsidR="00330860">
          <w:rPr>
            <w:noProof/>
            <w:webHidden/>
          </w:rPr>
          <w:tab/>
        </w:r>
        <w:r w:rsidR="00330860">
          <w:rPr>
            <w:noProof/>
            <w:webHidden/>
          </w:rPr>
          <w:fldChar w:fldCharType="begin"/>
        </w:r>
        <w:r w:rsidR="00330860">
          <w:rPr>
            <w:noProof/>
            <w:webHidden/>
          </w:rPr>
          <w:instrText xml:space="preserve"> PAGEREF _Toc223591186 \h </w:instrText>
        </w:r>
        <w:r w:rsidR="00330860">
          <w:rPr>
            <w:noProof/>
            <w:webHidden/>
          </w:rPr>
        </w:r>
        <w:r w:rsidR="00330860">
          <w:rPr>
            <w:noProof/>
            <w:webHidden/>
          </w:rPr>
          <w:fldChar w:fldCharType="separate"/>
        </w:r>
        <w:r w:rsidR="00850ED7">
          <w:rPr>
            <w:noProof/>
            <w:webHidden/>
          </w:rPr>
          <w:t>82</w:t>
        </w:r>
        <w:r w:rsidR="00330860">
          <w:rPr>
            <w:noProof/>
            <w:webHidden/>
          </w:rPr>
          <w:fldChar w:fldCharType="end"/>
        </w:r>
      </w:hyperlink>
    </w:p>
    <w:p w14:paraId="6945DC09" w14:textId="55AC4064" w:rsidR="00330860" w:rsidRDefault="000D71EB">
      <w:pPr>
        <w:pStyle w:val="31"/>
        <w:rPr>
          <w:rFonts w:asciiTheme="minorHAnsi" w:eastAsiaTheme="minorEastAsia" w:hAnsiTheme="minorHAnsi" w:cstheme="minorBidi"/>
          <w:kern w:val="2"/>
          <w:lang w:val="en-US" w:eastAsia="en-US"/>
          <w14:ligatures w14:val="standardContextual"/>
        </w:rPr>
      </w:pPr>
      <w:hyperlink w:anchor="_Toc223591187" w:history="1">
        <w:r w:rsidR="00330860" w:rsidRPr="00451799">
          <w:rPr>
            <w:rStyle w:val="a3"/>
          </w:rPr>
          <w:t>Российская экономика демонстрирует признаки охлаждения ценового давления: по свежим данным Росстата, за неделю до 2 марта потребительская инфляция замедлилась до 0,08%. Этот показатель стал минимальным с начала текущего года, что может свидетельствовать о стабилизации покупательского спроса и эффективности принимаемых денежно-кредитных мер. С начала года накопленный рост цен составил 2,22%, что выглядит оптимистично на фоне 2,71% за аналогичный период прошлого года.</w:t>
        </w:r>
        <w:r w:rsidR="00330860">
          <w:rPr>
            <w:webHidden/>
          </w:rPr>
          <w:tab/>
        </w:r>
        <w:r w:rsidR="00330860">
          <w:rPr>
            <w:webHidden/>
          </w:rPr>
          <w:fldChar w:fldCharType="begin"/>
        </w:r>
        <w:r w:rsidR="00330860">
          <w:rPr>
            <w:webHidden/>
          </w:rPr>
          <w:instrText xml:space="preserve"> PAGEREF _Toc223591187 \h </w:instrText>
        </w:r>
        <w:r w:rsidR="00330860">
          <w:rPr>
            <w:webHidden/>
          </w:rPr>
        </w:r>
        <w:r w:rsidR="00330860">
          <w:rPr>
            <w:webHidden/>
          </w:rPr>
          <w:fldChar w:fldCharType="separate"/>
        </w:r>
        <w:r w:rsidR="00850ED7">
          <w:rPr>
            <w:webHidden/>
          </w:rPr>
          <w:t>82</w:t>
        </w:r>
        <w:r w:rsidR="00330860">
          <w:rPr>
            <w:webHidden/>
          </w:rPr>
          <w:fldChar w:fldCharType="end"/>
        </w:r>
      </w:hyperlink>
    </w:p>
    <w:p w14:paraId="38172720" w14:textId="45F0BB9A"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88" w:history="1">
        <w:r w:rsidR="00330860" w:rsidRPr="00451799">
          <w:rPr>
            <w:rStyle w:val="a3"/>
            <w:noProof/>
          </w:rPr>
          <w:t>Век, 04.03.2026, Истинные причины снижения рождаемости во всем мире</w:t>
        </w:r>
        <w:r w:rsidR="00330860">
          <w:rPr>
            <w:noProof/>
            <w:webHidden/>
          </w:rPr>
          <w:tab/>
        </w:r>
        <w:r w:rsidR="00330860">
          <w:rPr>
            <w:noProof/>
            <w:webHidden/>
          </w:rPr>
          <w:fldChar w:fldCharType="begin"/>
        </w:r>
        <w:r w:rsidR="00330860">
          <w:rPr>
            <w:noProof/>
            <w:webHidden/>
          </w:rPr>
          <w:instrText xml:space="preserve"> PAGEREF _Toc223591188 \h </w:instrText>
        </w:r>
        <w:r w:rsidR="00330860">
          <w:rPr>
            <w:noProof/>
            <w:webHidden/>
          </w:rPr>
        </w:r>
        <w:r w:rsidR="00330860">
          <w:rPr>
            <w:noProof/>
            <w:webHidden/>
          </w:rPr>
          <w:fldChar w:fldCharType="separate"/>
        </w:r>
        <w:r w:rsidR="00850ED7">
          <w:rPr>
            <w:noProof/>
            <w:webHidden/>
          </w:rPr>
          <w:t>84</w:t>
        </w:r>
        <w:r w:rsidR="00330860">
          <w:rPr>
            <w:noProof/>
            <w:webHidden/>
          </w:rPr>
          <w:fldChar w:fldCharType="end"/>
        </w:r>
      </w:hyperlink>
    </w:p>
    <w:p w14:paraId="6B44D901" w14:textId="76F90B5C" w:rsidR="00330860" w:rsidRDefault="000D71EB">
      <w:pPr>
        <w:pStyle w:val="31"/>
        <w:rPr>
          <w:rFonts w:asciiTheme="minorHAnsi" w:eastAsiaTheme="minorEastAsia" w:hAnsiTheme="minorHAnsi" w:cstheme="minorBidi"/>
          <w:kern w:val="2"/>
          <w:lang w:val="en-US" w:eastAsia="en-US"/>
          <w14:ligatures w14:val="standardContextual"/>
        </w:rPr>
      </w:pPr>
      <w:hyperlink w:anchor="_Toc223591189" w:history="1">
        <w:r w:rsidR="00330860" w:rsidRPr="00451799">
          <w:rPr>
            <w:rStyle w:val="a3"/>
          </w:rPr>
          <w:t>Почему люди во всем мире отказываются от рождения детей? Антрополог нашла неожиданный ответ: дело не в деньгах и не в карьере. Решающий фактор совсем иной, и он связан с тем, что делает нас людьми.</w:t>
        </w:r>
        <w:r w:rsidR="00330860">
          <w:rPr>
            <w:webHidden/>
          </w:rPr>
          <w:tab/>
        </w:r>
        <w:r w:rsidR="00330860">
          <w:rPr>
            <w:webHidden/>
          </w:rPr>
          <w:fldChar w:fldCharType="begin"/>
        </w:r>
        <w:r w:rsidR="00330860">
          <w:rPr>
            <w:webHidden/>
          </w:rPr>
          <w:instrText xml:space="preserve"> PAGEREF _Toc223591189 \h </w:instrText>
        </w:r>
        <w:r w:rsidR="00330860">
          <w:rPr>
            <w:webHidden/>
          </w:rPr>
        </w:r>
        <w:r w:rsidR="00330860">
          <w:rPr>
            <w:webHidden/>
          </w:rPr>
          <w:fldChar w:fldCharType="separate"/>
        </w:r>
        <w:r w:rsidR="00850ED7">
          <w:rPr>
            <w:webHidden/>
          </w:rPr>
          <w:t>84</w:t>
        </w:r>
        <w:r w:rsidR="00330860">
          <w:rPr>
            <w:webHidden/>
          </w:rPr>
          <w:fldChar w:fldCharType="end"/>
        </w:r>
      </w:hyperlink>
    </w:p>
    <w:p w14:paraId="4B45E829" w14:textId="67088EC5"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190" w:history="1">
        <w:r w:rsidR="00330860" w:rsidRPr="00451799">
          <w:rPr>
            <w:rStyle w:val="a3"/>
            <w:noProof/>
          </w:rPr>
          <w:t>НОВОСТИ ЗАРУБЕЖНЫХ ПЕНСИОННЫХ СИСТЕМ</w:t>
        </w:r>
        <w:r w:rsidR="00330860">
          <w:rPr>
            <w:noProof/>
            <w:webHidden/>
          </w:rPr>
          <w:tab/>
        </w:r>
        <w:r w:rsidR="00330860">
          <w:rPr>
            <w:noProof/>
            <w:webHidden/>
          </w:rPr>
          <w:fldChar w:fldCharType="begin"/>
        </w:r>
        <w:r w:rsidR="00330860">
          <w:rPr>
            <w:noProof/>
            <w:webHidden/>
          </w:rPr>
          <w:instrText xml:space="preserve"> PAGEREF _Toc223591190 \h </w:instrText>
        </w:r>
        <w:r w:rsidR="00330860">
          <w:rPr>
            <w:noProof/>
            <w:webHidden/>
          </w:rPr>
        </w:r>
        <w:r w:rsidR="00330860">
          <w:rPr>
            <w:noProof/>
            <w:webHidden/>
          </w:rPr>
          <w:fldChar w:fldCharType="separate"/>
        </w:r>
        <w:r w:rsidR="00850ED7">
          <w:rPr>
            <w:noProof/>
            <w:webHidden/>
          </w:rPr>
          <w:t>86</w:t>
        </w:r>
        <w:r w:rsidR="00330860">
          <w:rPr>
            <w:noProof/>
            <w:webHidden/>
          </w:rPr>
          <w:fldChar w:fldCharType="end"/>
        </w:r>
      </w:hyperlink>
    </w:p>
    <w:p w14:paraId="53E83CD8" w14:textId="6F1C6670"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191" w:history="1">
        <w:r w:rsidR="00330860" w:rsidRPr="00451799">
          <w:rPr>
            <w:rStyle w:val="a3"/>
            <w:noProof/>
          </w:rPr>
          <w:t>Новости пенсионной отрасли стран ближнего зарубежья</w:t>
        </w:r>
        <w:r w:rsidR="00330860">
          <w:rPr>
            <w:noProof/>
            <w:webHidden/>
          </w:rPr>
          <w:tab/>
        </w:r>
        <w:r w:rsidR="00330860">
          <w:rPr>
            <w:noProof/>
            <w:webHidden/>
          </w:rPr>
          <w:fldChar w:fldCharType="begin"/>
        </w:r>
        <w:r w:rsidR="00330860">
          <w:rPr>
            <w:noProof/>
            <w:webHidden/>
          </w:rPr>
          <w:instrText xml:space="preserve"> PAGEREF _Toc223591191 \h </w:instrText>
        </w:r>
        <w:r w:rsidR="00330860">
          <w:rPr>
            <w:noProof/>
            <w:webHidden/>
          </w:rPr>
        </w:r>
        <w:r w:rsidR="00330860">
          <w:rPr>
            <w:noProof/>
            <w:webHidden/>
          </w:rPr>
          <w:fldChar w:fldCharType="separate"/>
        </w:r>
        <w:r w:rsidR="00850ED7">
          <w:rPr>
            <w:noProof/>
            <w:webHidden/>
          </w:rPr>
          <w:t>86</w:t>
        </w:r>
        <w:r w:rsidR="00330860">
          <w:rPr>
            <w:noProof/>
            <w:webHidden/>
          </w:rPr>
          <w:fldChar w:fldCharType="end"/>
        </w:r>
      </w:hyperlink>
    </w:p>
    <w:p w14:paraId="0F72FD0B" w14:textId="2DC6ABF6"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92" w:history="1">
        <w:r w:rsidR="00330860" w:rsidRPr="00451799">
          <w:rPr>
            <w:rStyle w:val="a3"/>
            <w:noProof/>
          </w:rPr>
          <w:t>Tengrinews.kz, 04.03.2026, Пенсия от 500 тысяч до 1 миллиона: расчёт ЕНПФ для казахстанцев</w:t>
        </w:r>
        <w:r w:rsidR="00330860">
          <w:rPr>
            <w:noProof/>
            <w:webHidden/>
          </w:rPr>
          <w:tab/>
        </w:r>
        <w:r w:rsidR="00330860">
          <w:rPr>
            <w:noProof/>
            <w:webHidden/>
          </w:rPr>
          <w:fldChar w:fldCharType="begin"/>
        </w:r>
        <w:r w:rsidR="00330860">
          <w:rPr>
            <w:noProof/>
            <w:webHidden/>
          </w:rPr>
          <w:instrText xml:space="preserve"> PAGEREF _Toc223591192 \h </w:instrText>
        </w:r>
        <w:r w:rsidR="00330860">
          <w:rPr>
            <w:noProof/>
            <w:webHidden/>
          </w:rPr>
        </w:r>
        <w:r w:rsidR="00330860">
          <w:rPr>
            <w:noProof/>
            <w:webHidden/>
          </w:rPr>
          <w:fldChar w:fldCharType="separate"/>
        </w:r>
        <w:r w:rsidR="00850ED7">
          <w:rPr>
            <w:noProof/>
            <w:webHidden/>
          </w:rPr>
          <w:t>86</w:t>
        </w:r>
        <w:r w:rsidR="00330860">
          <w:rPr>
            <w:noProof/>
            <w:webHidden/>
          </w:rPr>
          <w:fldChar w:fldCharType="end"/>
        </w:r>
      </w:hyperlink>
    </w:p>
    <w:p w14:paraId="496248EA" w14:textId="0C9B42A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93" w:history="1">
        <w:r w:rsidR="00330860" w:rsidRPr="00451799">
          <w:rPr>
            <w:rStyle w:val="a3"/>
          </w:rPr>
          <w:t>Какой объём пенсионных накоплений необходим для того, чтобы ежемесячно получать пенсию от 500 тысяч до 1 миллиона тенге? На этот вопрос ответили в Едином накопительном пенсионном фонде, передаёт корреспондент Tengrinews.kz.</w:t>
        </w:r>
        <w:r w:rsidR="00330860">
          <w:rPr>
            <w:webHidden/>
          </w:rPr>
          <w:tab/>
        </w:r>
        <w:r w:rsidR="00330860">
          <w:rPr>
            <w:webHidden/>
          </w:rPr>
          <w:fldChar w:fldCharType="begin"/>
        </w:r>
        <w:r w:rsidR="00330860">
          <w:rPr>
            <w:webHidden/>
          </w:rPr>
          <w:instrText xml:space="preserve"> PAGEREF _Toc223591193 \h </w:instrText>
        </w:r>
        <w:r w:rsidR="00330860">
          <w:rPr>
            <w:webHidden/>
          </w:rPr>
        </w:r>
        <w:r w:rsidR="00330860">
          <w:rPr>
            <w:webHidden/>
          </w:rPr>
          <w:fldChar w:fldCharType="separate"/>
        </w:r>
        <w:r w:rsidR="00850ED7">
          <w:rPr>
            <w:webHidden/>
          </w:rPr>
          <w:t>86</w:t>
        </w:r>
        <w:r w:rsidR="00330860">
          <w:rPr>
            <w:webHidden/>
          </w:rPr>
          <w:fldChar w:fldCharType="end"/>
        </w:r>
      </w:hyperlink>
    </w:p>
    <w:p w14:paraId="5A942281" w14:textId="03270DB8" w:rsidR="00330860" w:rsidRDefault="000D71EB">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591194" w:history="1">
        <w:r w:rsidR="00330860" w:rsidRPr="00451799">
          <w:rPr>
            <w:rStyle w:val="a3"/>
            <w:noProof/>
          </w:rPr>
          <w:t>Новости пенсионной отрасли стран дальнего зарубежья</w:t>
        </w:r>
        <w:r w:rsidR="00330860">
          <w:rPr>
            <w:noProof/>
            <w:webHidden/>
          </w:rPr>
          <w:tab/>
        </w:r>
        <w:r w:rsidR="00330860">
          <w:rPr>
            <w:noProof/>
            <w:webHidden/>
          </w:rPr>
          <w:fldChar w:fldCharType="begin"/>
        </w:r>
        <w:r w:rsidR="00330860">
          <w:rPr>
            <w:noProof/>
            <w:webHidden/>
          </w:rPr>
          <w:instrText xml:space="preserve"> PAGEREF _Toc223591194 \h </w:instrText>
        </w:r>
        <w:r w:rsidR="00330860">
          <w:rPr>
            <w:noProof/>
            <w:webHidden/>
          </w:rPr>
        </w:r>
        <w:r w:rsidR="00330860">
          <w:rPr>
            <w:noProof/>
            <w:webHidden/>
          </w:rPr>
          <w:fldChar w:fldCharType="separate"/>
        </w:r>
        <w:r w:rsidR="00850ED7">
          <w:rPr>
            <w:noProof/>
            <w:webHidden/>
          </w:rPr>
          <w:t>87</w:t>
        </w:r>
        <w:r w:rsidR="00330860">
          <w:rPr>
            <w:noProof/>
            <w:webHidden/>
          </w:rPr>
          <w:fldChar w:fldCharType="end"/>
        </w:r>
      </w:hyperlink>
    </w:p>
    <w:p w14:paraId="7FFCA579" w14:textId="7207F97D" w:rsidR="00330860" w:rsidRDefault="000D71EB">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591195" w:history="1">
        <w:r w:rsidR="00330860" w:rsidRPr="00451799">
          <w:rPr>
            <w:rStyle w:val="a3"/>
            <w:noProof/>
          </w:rPr>
          <w:t>Bits.media, 04.03.2026, В штате Индиана разрешили инвестировать пенсионные накопления в криптофонды</w:t>
        </w:r>
        <w:r w:rsidR="00330860">
          <w:rPr>
            <w:noProof/>
            <w:webHidden/>
          </w:rPr>
          <w:tab/>
        </w:r>
        <w:r w:rsidR="00330860">
          <w:rPr>
            <w:noProof/>
            <w:webHidden/>
          </w:rPr>
          <w:fldChar w:fldCharType="begin"/>
        </w:r>
        <w:r w:rsidR="00330860">
          <w:rPr>
            <w:noProof/>
            <w:webHidden/>
          </w:rPr>
          <w:instrText xml:space="preserve"> PAGEREF _Toc223591195 \h </w:instrText>
        </w:r>
        <w:r w:rsidR="00330860">
          <w:rPr>
            <w:noProof/>
            <w:webHidden/>
          </w:rPr>
        </w:r>
        <w:r w:rsidR="00330860">
          <w:rPr>
            <w:noProof/>
            <w:webHidden/>
          </w:rPr>
          <w:fldChar w:fldCharType="separate"/>
        </w:r>
        <w:r w:rsidR="00850ED7">
          <w:rPr>
            <w:noProof/>
            <w:webHidden/>
          </w:rPr>
          <w:t>87</w:t>
        </w:r>
        <w:r w:rsidR="00330860">
          <w:rPr>
            <w:noProof/>
            <w:webHidden/>
          </w:rPr>
          <w:fldChar w:fldCharType="end"/>
        </w:r>
      </w:hyperlink>
    </w:p>
    <w:p w14:paraId="1A650167" w14:textId="5DBDEA2F" w:rsidR="00330860" w:rsidRDefault="000D71EB">
      <w:pPr>
        <w:pStyle w:val="31"/>
        <w:rPr>
          <w:rFonts w:asciiTheme="minorHAnsi" w:eastAsiaTheme="minorEastAsia" w:hAnsiTheme="minorHAnsi" w:cstheme="minorBidi"/>
          <w:kern w:val="2"/>
          <w:lang w:val="en-US" w:eastAsia="en-US"/>
          <w14:ligatures w14:val="standardContextual"/>
        </w:rPr>
      </w:pPr>
      <w:hyperlink w:anchor="_Toc223591196" w:history="1">
        <w:r w:rsidR="00330860" w:rsidRPr="00451799">
          <w:rPr>
            <w:rStyle w:val="a3"/>
          </w:rPr>
          <w:t>Губернатор штата Индиана Майк Браун (Mike Braun) подписал законопроект, запрещающий местным органам власти вводить дискриминационные налоги и ограничения на операции с криптовалютами, а также разрешающий направлять пенсионные накопления в криптовалютные инвестиционные фонды.</w:t>
        </w:r>
        <w:r w:rsidR="00330860">
          <w:rPr>
            <w:webHidden/>
          </w:rPr>
          <w:tab/>
        </w:r>
        <w:r w:rsidR="00330860">
          <w:rPr>
            <w:webHidden/>
          </w:rPr>
          <w:fldChar w:fldCharType="begin"/>
        </w:r>
        <w:r w:rsidR="00330860">
          <w:rPr>
            <w:webHidden/>
          </w:rPr>
          <w:instrText xml:space="preserve"> PAGEREF _Toc223591196 \h </w:instrText>
        </w:r>
        <w:r w:rsidR="00330860">
          <w:rPr>
            <w:webHidden/>
          </w:rPr>
        </w:r>
        <w:r w:rsidR="00330860">
          <w:rPr>
            <w:webHidden/>
          </w:rPr>
          <w:fldChar w:fldCharType="separate"/>
        </w:r>
        <w:r w:rsidR="00850ED7">
          <w:rPr>
            <w:webHidden/>
          </w:rPr>
          <w:t>87</w:t>
        </w:r>
        <w:r w:rsidR="00330860">
          <w:rPr>
            <w:webHidden/>
          </w:rPr>
          <w:fldChar w:fldCharType="end"/>
        </w:r>
      </w:hyperlink>
    </w:p>
    <w:p w14:paraId="15E433F4" w14:textId="6F32DD22" w:rsidR="00A0290C" w:rsidRPr="002F64E6" w:rsidRDefault="0016758D" w:rsidP="00310633">
      <w:pPr>
        <w:rPr>
          <w:b/>
          <w:caps/>
          <w:sz w:val="32"/>
        </w:rPr>
      </w:pPr>
      <w:r w:rsidRPr="002F64E6">
        <w:rPr>
          <w:caps/>
          <w:sz w:val="28"/>
        </w:rPr>
        <w:fldChar w:fldCharType="end"/>
      </w:r>
    </w:p>
    <w:p w14:paraId="6EA9C6EB" w14:textId="77777777" w:rsidR="00D1642B" w:rsidRPr="002F64E6" w:rsidRDefault="00D1642B" w:rsidP="00D1642B">
      <w:pPr>
        <w:pStyle w:val="251"/>
      </w:pPr>
      <w:bookmarkStart w:id="16" w:name="_Toc396864664"/>
      <w:bookmarkStart w:id="17" w:name="_Toc99318652"/>
      <w:bookmarkStart w:id="18" w:name="_Toc223591087"/>
      <w:bookmarkStart w:id="19" w:name="_Toc246216291"/>
      <w:bookmarkStart w:id="20" w:name="_Toc246297418"/>
      <w:bookmarkEnd w:id="8"/>
      <w:bookmarkEnd w:id="9"/>
      <w:bookmarkEnd w:id="10"/>
      <w:bookmarkEnd w:id="11"/>
      <w:bookmarkEnd w:id="12"/>
      <w:bookmarkEnd w:id="13"/>
      <w:bookmarkEnd w:id="14"/>
      <w:bookmarkEnd w:id="15"/>
      <w:r w:rsidRPr="002F64E6">
        <w:lastRenderedPageBreak/>
        <w:t>НОВОСТИ ПЕНСИОННОЙ ОТРАСЛИ</w:t>
      </w:r>
      <w:bookmarkEnd w:id="16"/>
      <w:bookmarkEnd w:id="17"/>
      <w:bookmarkEnd w:id="18"/>
    </w:p>
    <w:p w14:paraId="024116D1" w14:textId="77777777" w:rsidR="00111D7C" w:rsidRPr="002F64E6" w:rsidRDefault="00111D7C" w:rsidP="00111D7C">
      <w:pPr>
        <w:pStyle w:val="10"/>
      </w:pPr>
      <w:bookmarkStart w:id="21" w:name="_Toc99271685"/>
      <w:bookmarkStart w:id="22" w:name="_Toc99318653"/>
      <w:bookmarkStart w:id="23" w:name="_Toc165991072"/>
      <w:bookmarkStart w:id="24" w:name="_Toc223591088"/>
      <w:bookmarkStart w:id="25" w:name="_Toc246987631"/>
      <w:bookmarkStart w:id="26" w:name="_Toc248632297"/>
      <w:bookmarkStart w:id="27" w:name="_Toc251223975"/>
      <w:bookmarkEnd w:id="19"/>
      <w:bookmarkEnd w:id="20"/>
      <w:r w:rsidRPr="002F64E6">
        <w:t>Новости отрасли НПФ</w:t>
      </w:r>
      <w:bookmarkEnd w:id="21"/>
      <w:bookmarkEnd w:id="22"/>
      <w:bookmarkEnd w:id="23"/>
      <w:bookmarkEnd w:id="24"/>
    </w:p>
    <w:p w14:paraId="0E8AECA6" w14:textId="22F2A314" w:rsidR="00CB02E7" w:rsidRPr="002F64E6" w:rsidRDefault="00CB02E7" w:rsidP="00CB02E7">
      <w:pPr>
        <w:pStyle w:val="2"/>
      </w:pPr>
      <w:bookmarkStart w:id="28" w:name="ф1"/>
      <w:bookmarkStart w:id="29" w:name="_Toc223591089"/>
      <w:bookmarkEnd w:id="28"/>
      <w:r w:rsidRPr="002F64E6">
        <w:t xml:space="preserve">Рейтинговое агентство Эксперт РА, 04.03.2026, </w:t>
      </w:r>
      <w:r w:rsidR="00E77AB9">
        <w:t>«</w:t>
      </w:r>
      <w:r w:rsidRPr="002F64E6">
        <w:t>Эксперт РА</w:t>
      </w:r>
      <w:r w:rsidR="00E77AB9">
        <w:t>»</w:t>
      </w:r>
      <w:r w:rsidRPr="002F64E6">
        <w:t xml:space="preserve"> и </w:t>
      </w:r>
      <w:r w:rsidR="00E77AB9">
        <w:t>«</w:t>
      </w:r>
      <w:r w:rsidRPr="002F64E6">
        <w:t>Эксперт Бизнес-Решения</w:t>
      </w:r>
      <w:r w:rsidR="00E77AB9">
        <w:t>»</w:t>
      </w:r>
      <w:r w:rsidRPr="002F64E6">
        <w:t xml:space="preserve"> публикуют </w:t>
      </w:r>
      <w:proofErr w:type="spellStart"/>
      <w:r w:rsidRPr="002F64E6">
        <w:t>рэнкинги</w:t>
      </w:r>
      <w:proofErr w:type="spellEnd"/>
      <w:r w:rsidRPr="002F64E6">
        <w:t xml:space="preserve"> управляющих компаний по итогам 2025 года</w:t>
      </w:r>
      <w:bookmarkEnd w:id="29"/>
    </w:p>
    <w:p w14:paraId="02A55135" w14:textId="7F1970E6" w:rsidR="00CB02E7" w:rsidRPr="002F64E6" w:rsidRDefault="00CB02E7" w:rsidP="003F5B32">
      <w:pPr>
        <w:pStyle w:val="3"/>
      </w:pPr>
      <w:bookmarkStart w:id="30" w:name="_Toc223591090"/>
      <w:r w:rsidRPr="002F64E6">
        <w:t xml:space="preserve">Рейтинговое агентство </w:t>
      </w:r>
      <w:r w:rsidR="00E77AB9">
        <w:t>«</w:t>
      </w:r>
      <w:r w:rsidRPr="002F64E6">
        <w:t>Эксперт РА</w:t>
      </w:r>
      <w:r w:rsidR="00E77AB9">
        <w:t>»</w:t>
      </w:r>
      <w:r w:rsidRPr="002F64E6">
        <w:t xml:space="preserve"> совместно с </w:t>
      </w:r>
      <w:r w:rsidR="00E77AB9">
        <w:t>«</w:t>
      </w:r>
      <w:r w:rsidRPr="002F64E6">
        <w:t>Эксперт Бизнес-Решения</w:t>
      </w:r>
      <w:r w:rsidR="00E77AB9">
        <w:t>»</w:t>
      </w:r>
      <w:r w:rsidRPr="002F64E6">
        <w:t xml:space="preserve"> подготовили </w:t>
      </w:r>
      <w:proofErr w:type="spellStart"/>
      <w:r w:rsidRPr="002F64E6">
        <w:t>рэнкинги</w:t>
      </w:r>
      <w:proofErr w:type="spellEnd"/>
      <w:r w:rsidRPr="002F64E6">
        <w:t xml:space="preserve"> управляющих компаний по итогам 2025 года. </w:t>
      </w:r>
      <w:proofErr w:type="spellStart"/>
      <w:r w:rsidRPr="002F64E6">
        <w:t>Рэнкинги</w:t>
      </w:r>
      <w:proofErr w:type="spellEnd"/>
      <w:r w:rsidRPr="002F64E6">
        <w:t xml:space="preserve"> сформированы на основе данных, предоставленных участниками рынка по состоянию на 31.12.2025. Абсолютным показателем для ранжирования выступает стоимость чистых активов (СЧА) под управлением по основным видам доверительного управления.</w:t>
      </w:r>
      <w:bookmarkEnd w:id="30"/>
    </w:p>
    <w:p w14:paraId="1B291AE0" w14:textId="77777777" w:rsidR="00CB02E7" w:rsidRPr="002F64E6" w:rsidRDefault="00CB02E7" w:rsidP="00CB02E7">
      <w:r w:rsidRPr="002F64E6">
        <w:t xml:space="preserve">Совокупный объем средств под управлением участников </w:t>
      </w:r>
      <w:proofErr w:type="spellStart"/>
      <w:r w:rsidRPr="002F64E6">
        <w:t>рэнкинга</w:t>
      </w:r>
      <w:proofErr w:type="spellEnd"/>
      <w:r w:rsidRPr="002F64E6">
        <w:t xml:space="preserve"> в 2025-м составил 16,5 трлн рублей, увеличившись на 60% по сравнению с предыдущим годом. В проекте приняли участие 40 управляющих компаний и три группы управляющих компаний, что подтверждает устойчивый интерес рынка к независимой оценке позиций и отраслевому </w:t>
      </w:r>
      <w:proofErr w:type="spellStart"/>
      <w:r w:rsidRPr="002F64E6">
        <w:t>бенчмаркингу</w:t>
      </w:r>
      <w:proofErr w:type="spellEnd"/>
      <w:r w:rsidRPr="002F64E6">
        <w:t xml:space="preserve">. Всего агентством традиционно сформировано 14 </w:t>
      </w:r>
      <w:proofErr w:type="spellStart"/>
      <w:r w:rsidRPr="002F64E6">
        <w:t>рэнкингов</w:t>
      </w:r>
      <w:proofErr w:type="spellEnd"/>
      <w:r w:rsidRPr="002F64E6">
        <w:t>, отражающих структуру рынка доверительного управления.</w:t>
      </w:r>
    </w:p>
    <w:p w14:paraId="12F8B4D5" w14:textId="77777777" w:rsidR="00CB02E7" w:rsidRPr="002F64E6" w:rsidRDefault="00CB02E7" w:rsidP="00CB02E7">
      <w:r w:rsidRPr="002F64E6">
        <w:t xml:space="preserve">В 2025 году можно выделить три самых значимых сегмента по итогам </w:t>
      </w:r>
      <w:proofErr w:type="spellStart"/>
      <w:r w:rsidRPr="002F64E6">
        <w:t>рэнкинга</w:t>
      </w:r>
      <w:proofErr w:type="spellEnd"/>
      <w:r w:rsidRPr="002F64E6">
        <w:t>. Наибольший объем средств по-прежнему приходится на ЗПИФ - 29% совокупных активов под управлением. На втором месте находятся пенсионные накопления НПФ с долей 16%, а третью строчку занимает БПИФ - 11%. Для сравнения, по итогам 2024 года топ-3 сегмента выглядело так: ЗПИФ (33,7%), пенсионные накопления НПФ (17,29%) и средства физических лиц в индивидуальном доверительном управлении (11,73%).</w:t>
      </w:r>
    </w:p>
    <w:p w14:paraId="6A3E155C" w14:textId="77777777" w:rsidR="00CB02E7" w:rsidRPr="002F64E6" w:rsidRDefault="00CB02E7" w:rsidP="00CB02E7">
      <w:r w:rsidRPr="002F64E6">
        <w:t xml:space="preserve">Показатели, рассчитанные на основании данных управляющих компаний, участвующих в </w:t>
      </w:r>
      <w:proofErr w:type="spellStart"/>
      <w:r w:rsidRPr="002F64E6">
        <w:t>рэнкингах</w:t>
      </w:r>
      <w:proofErr w:type="spellEnd"/>
      <w:r w:rsidRPr="002F64E6">
        <w:t xml:space="preserve">, с некоторым приближением повторяют структуру рынка доверительного управления в целом. Однако, стоит отметить, что в масштабах всего рынка доля сегмента ЗПИФ должна быть выше, поскольку значительное число управляющих компаний, специализирующихся исключительно на управлении средствами ЗПИФ, до сих пор сохраняют политику информационной непрозрачности и, к сожалению, не принимают участия в </w:t>
      </w:r>
      <w:proofErr w:type="spellStart"/>
      <w:r w:rsidRPr="002F64E6">
        <w:t>рэнкингах</w:t>
      </w:r>
      <w:proofErr w:type="spellEnd"/>
      <w:r w:rsidRPr="002F64E6">
        <w:t>.</w:t>
      </w:r>
    </w:p>
    <w:p w14:paraId="6AC65D49" w14:textId="77777777" w:rsidR="00CB02E7" w:rsidRPr="002F64E6" w:rsidRDefault="00CB02E7" w:rsidP="00CB02E7">
      <w:r w:rsidRPr="002F64E6">
        <w:t xml:space="preserve">Результаты </w:t>
      </w:r>
      <w:proofErr w:type="spellStart"/>
      <w:r w:rsidRPr="002F64E6">
        <w:t>рэнкинга</w:t>
      </w:r>
      <w:proofErr w:type="spellEnd"/>
      <w:r w:rsidRPr="002F64E6">
        <w:t xml:space="preserve"> отражают </w:t>
      </w:r>
      <w:proofErr w:type="spellStart"/>
      <w:r w:rsidRPr="002F64E6">
        <w:t>общерыночную</w:t>
      </w:r>
      <w:proofErr w:type="spellEnd"/>
      <w:r w:rsidRPr="002F64E6">
        <w:t xml:space="preserve"> тенденцию снижения доли пенсионных накоплений НПФ, прежде всего за счет активного развития остальных сегментов рынка, а также перевода средств в ПДС. В 2025 году отмечены рекордные притоки средств в розничные фонды (БПИФ и ОПИФ) на фоне снижения ставок по депозитам вследствие смягчения денежно-кредитной политики, что позволило </w:t>
      </w:r>
      <w:proofErr w:type="spellStart"/>
      <w:r w:rsidRPr="002F64E6">
        <w:t>БПИФам</w:t>
      </w:r>
      <w:proofErr w:type="spellEnd"/>
      <w:r w:rsidRPr="002F64E6">
        <w:t xml:space="preserve"> войти в топ-з. Сегмент доверительного управления средствами физических лиц, напротив, утратил лидирующие позиции, в т. ч. за счет отмены стандартных стратегий ДУ.</w:t>
      </w:r>
    </w:p>
    <w:p w14:paraId="56F5A4D1" w14:textId="30515921" w:rsidR="00CB02E7" w:rsidRPr="002F64E6" w:rsidRDefault="00CB02E7" w:rsidP="00CB02E7">
      <w:r w:rsidRPr="002F64E6">
        <w:t xml:space="preserve">По итогам 2025 года лидерами </w:t>
      </w:r>
      <w:proofErr w:type="spellStart"/>
      <w:r w:rsidRPr="002F64E6">
        <w:t>рэнкинга</w:t>
      </w:r>
      <w:proofErr w:type="spellEnd"/>
      <w:r w:rsidRPr="002F64E6">
        <w:t xml:space="preserve"> по совокупному объему средств под управлением стали УК </w:t>
      </w:r>
      <w:r w:rsidR="00E77AB9">
        <w:t>«</w:t>
      </w:r>
      <w:r w:rsidRPr="002F64E6">
        <w:t>Первая</w:t>
      </w:r>
      <w:r w:rsidR="00E77AB9">
        <w:t>»</w:t>
      </w:r>
      <w:r w:rsidRPr="002F64E6">
        <w:t xml:space="preserve">, </w:t>
      </w:r>
      <w:r w:rsidR="00E77AB9">
        <w:t>«</w:t>
      </w:r>
      <w:r w:rsidRPr="002F64E6">
        <w:t>Альфа-Капитал</w:t>
      </w:r>
      <w:r w:rsidR="00E77AB9">
        <w:t>»</w:t>
      </w:r>
      <w:r w:rsidRPr="002F64E6">
        <w:t xml:space="preserve"> и </w:t>
      </w:r>
      <w:r w:rsidR="00E77AB9">
        <w:t>«</w:t>
      </w:r>
      <w:r w:rsidRPr="002F64E6">
        <w:t>ВИМ Инвестиции</w:t>
      </w:r>
      <w:r w:rsidR="00E77AB9">
        <w:t>»</w:t>
      </w:r>
      <w:r w:rsidRPr="002F64E6">
        <w:t>.</w:t>
      </w:r>
    </w:p>
    <w:p w14:paraId="28C0C3F6" w14:textId="34F4227F" w:rsidR="00CB02E7" w:rsidRPr="002F64E6" w:rsidRDefault="00CB02E7" w:rsidP="00CB02E7">
      <w:r w:rsidRPr="002F64E6">
        <w:lastRenderedPageBreak/>
        <w:t xml:space="preserve">Сегмент ЗПИФ сохранил значимый вклад в прирост совокупных активов под управлением. По итогам 2025 года он остается самым крупным: 39 из 43 участника </w:t>
      </w:r>
      <w:proofErr w:type="spellStart"/>
      <w:r w:rsidRPr="002F64E6">
        <w:t>рэнкинга</w:t>
      </w:r>
      <w:proofErr w:type="spellEnd"/>
      <w:r w:rsidRPr="002F64E6">
        <w:t xml:space="preserve"> управляют </w:t>
      </w:r>
      <w:proofErr w:type="spellStart"/>
      <w:r w:rsidRPr="002F64E6">
        <w:t>ЗПИФами</w:t>
      </w:r>
      <w:proofErr w:type="spellEnd"/>
      <w:r w:rsidRPr="002F64E6">
        <w:t xml:space="preserve">, а совокупные активы в этом сегменте приближаются к 5 трлн рублей. Лидирующие позиции в сегменте заняли </w:t>
      </w:r>
      <w:r w:rsidR="00E77AB9">
        <w:t>«</w:t>
      </w:r>
      <w:r w:rsidRPr="002F64E6">
        <w:t>ВИМ Инвестиции</w:t>
      </w:r>
      <w:r w:rsidR="00E77AB9">
        <w:t>»</w:t>
      </w:r>
      <w:r w:rsidRPr="002F64E6">
        <w:t xml:space="preserve">, </w:t>
      </w:r>
      <w:r w:rsidR="00E77AB9">
        <w:t>«</w:t>
      </w:r>
      <w:proofErr w:type="spellStart"/>
      <w:r w:rsidRPr="002F64E6">
        <w:t>Меркури</w:t>
      </w:r>
      <w:proofErr w:type="spellEnd"/>
      <w:r w:rsidRPr="002F64E6">
        <w:t xml:space="preserve"> </w:t>
      </w:r>
      <w:proofErr w:type="spellStart"/>
      <w:r w:rsidRPr="002F64E6">
        <w:t>Кэпитал</w:t>
      </w:r>
      <w:proofErr w:type="spellEnd"/>
      <w:r w:rsidRPr="002F64E6">
        <w:t xml:space="preserve"> Траст</w:t>
      </w:r>
      <w:r w:rsidR="00E77AB9">
        <w:t>»</w:t>
      </w:r>
      <w:r w:rsidRPr="002F64E6">
        <w:t xml:space="preserve"> и </w:t>
      </w:r>
      <w:r w:rsidR="00E77AB9">
        <w:t>«</w:t>
      </w:r>
      <w:r w:rsidRPr="002F64E6">
        <w:t>Апрель</w:t>
      </w:r>
      <w:r w:rsidR="00E77AB9">
        <w:t>»</w:t>
      </w:r>
      <w:r w:rsidRPr="002F64E6">
        <w:t xml:space="preserve">. В тройку лидеров по объему средств в ОПИФ, БПИФ и ИПИФ вошли УК </w:t>
      </w:r>
      <w:r w:rsidR="00E77AB9">
        <w:t>«</w:t>
      </w:r>
      <w:r w:rsidRPr="002F64E6">
        <w:t>Первая</w:t>
      </w:r>
      <w:r w:rsidR="00E77AB9">
        <w:t>»</w:t>
      </w:r>
      <w:r w:rsidRPr="002F64E6">
        <w:t xml:space="preserve">, </w:t>
      </w:r>
      <w:r w:rsidR="00E77AB9">
        <w:t>«</w:t>
      </w:r>
      <w:r w:rsidRPr="002F64E6">
        <w:t>ВИМ Инвестиции</w:t>
      </w:r>
      <w:r w:rsidR="00E77AB9">
        <w:t>»</w:t>
      </w:r>
      <w:r w:rsidRPr="002F64E6">
        <w:t xml:space="preserve"> и </w:t>
      </w:r>
      <w:r w:rsidR="00E77AB9">
        <w:t>«</w:t>
      </w:r>
      <w:r w:rsidRPr="002F64E6">
        <w:t>Альфа-Капитал</w:t>
      </w:r>
      <w:r w:rsidR="00E77AB9">
        <w:t>»</w:t>
      </w:r>
      <w:r w:rsidRPr="002F64E6">
        <w:t>.</w:t>
      </w:r>
    </w:p>
    <w:p w14:paraId="062A8CA3" w14:textId="30D52BB8" w:rsidR="00CB02E7" w:rsidRPr="002F64E6" w:rsidRDefault="00CB02E7" w:rsidP="00CB02E7">
      <w:r w:rsidRPr="002F64E6">
        <w:t xml:space="preserve">Крупнейшими компаниями по объему средств пенсионных накоплений НПФ в управлении стали </w:t>
      </w:r>
      <w:r w:rsidR="00E77AB9">
        <w:t>«</w:t>
      </w:r>
      <w:r w:rsidRPr="002F64E6">
        <w:t>Прогрессивные инвестиционные идеи</w:t>
      </w:r>
      <w:r w:rsidR="00E77AB9">
        <w:t>»</w:t>
      </w:r>
      <w:r w:rsidRPr="002F64E6">
        <w:t xml:space="preserve">, УК </w:t>
      </w:r>
      <w:r w:rsidR="00E77AB9">
        <w:t>«</w:t>
      </w:r>
      <w:r w:rsidRPr="002F64E6">
        <w:t>Первая</w:t>
      </w:r>
      <w:r w:rsidR="00E77AB9">
        <w:t>»</w:t>
      </w:r>
      <w:r w:rsidRPr="002F64E6">
        <w:t xml:space="preserve"> и </w:t>
      </w:r>
      <w:r w:rsidR="00E77AB9">
        <w:t>«</w:t>
      </w:r>
      <w:r w:rsidRPr="002F64E6">
        <w:t xml:space="preserve">ТКБ </w:t>
      </w:r>
      <w:proofErr w:type="spellStart"/>
      <w:r w:rsidRPr="002F64E6">
        <w:t>Инвестмент</w:t>
      </w:r>
      <w:proofErr w:type="spellEnd"/>
      <w:r w:rsidRPr="002F64E6">
        <w:t xml:space="preserve"> </w:t>
      </w:r>
      <w:proofErr w:type="spellStart"/>
      <w:r w:rsidRPr="002F64E6">
        <w:t>Партнерс</w:t>
      </w:r>
      <w:proofErr w:type="spellEnd"/>
      <w:r w:rsidR="00E77AB9">
        <w:t>»</w:t>
      </w:r>
      <w:r w:rsidRPr="002F64E6">
        <w:t xml:space="preserve">, пенсионных резервов НПФ - </w:t>
      </w:r>
      <w:r w:rsidR="00E77AB9">
        <w:t>«</w:t>
      </w:r>
      <w:r w:rsidRPr="002F64E6">
        <w:t>Лидер</w:t>
      </w:r>
      <w:r w:rsidR="00E77AB9">
        <w:t>»</w:t>
      </w:r>
      <w:r w:rsidRPr="002F64E6">
        <w:t xml:space="preserve">, </w:t>
      </w:r>
      <w:r w:rsidR="00E77AB9">
        <w:t>«</w:t>
      </w:r>
      <w:r w:rsidRPr="002F64E6">
        <w:t>ТРАНСФИНГРУП</w:t>
      </w:r>
      <w:r w:rsidR="00E77AB9">
        <w:t>»</w:t>
      </w:r>
      <w:r w:rsidRPr="002F64E6">
        <w:t xml:space="preserve"> и </w:t>
      </w:r>
      <w:r w:rsidR="00E77AB9">
        <w:t>«</w:t>
      </w:r>
      <w:r w:rsidRPr="002F64E6">
        <w:t>Прогрессивные инвестиционные идеи</w:t>
      </w:r>
      <w:r w:rsidR="00E77AB9">
        <w:t>»</w:t>
      </w:r>
      <w:r w:rsidRPr="002F64E6">
        <w:t>.</w:t>
      </w:r>
    </w:p>
    <w:p w14:paraId="2961FBA5" w14:textId="366F5C46" w:rsidR="00CB02E7" w:rsidRPr="002F64E6" w:rsidRDefault="00CB02E7" w:rsidP="00CB02E7">
      <w:r w:rsidRPr="002F64E6">
        <w:t xml:space="preserve">В сегменте индивидуального доверительного управления средствами физических лиц лидерами </w:t>
      </w:r>
      <w:proofErr w:type="spellStart"/>
      <w:r w:rsidRPr="002F64E6">
        <w:t>рэнкинга</w:t>
      </w:r>
      <w:proofErr w:type="spellEnd"/>
      <w:r w:rsidRPr="002F64E6">
        <w:t xml:space="preserve"> стали </w:t>
      </w:r>
      <w:r w:rsidR="00E77AB9">
        <w:t>«</w:t>
      </w:r>
      <w:r w:rsidRPr="002F64E6">
        <w:t>Альфа-Капитал</w:t>
      </w:r>
      <w:r w:rsidR="00E77AB9">
        <w:t>»</w:t>
      </w:r>
      <w:r w:rsidRPr="002F64E6">
        <w:t xml:space="preserve">, УК </w:t>
      </w:r>
      <w:r w:rsidR="00E77AB9">
        <w:t>«</w:t>
      </w:r>
      <w:r w:rsidRPr="002F64E6">
        <w:t>Первая</w:t>
      </w:r>
      <w:r w:rsidR="00E77AB9">
        <w:t>»</w:t>
      </w:r>
      <w:r w:rsidRPr="002F64E6">
        <w:t xml:space="preserve"> и </w:t>
      </w:r>
      <w:r w:rsidR="00E77AB9">
        <w:t>«</w:t>
      </w:r>
      <w:r w:rsidRPr="002F64E6">
        <w:t>ВИМ Инвестиции</w:t>
      </w:r>
      <w:r w:rsidR="00E77AB9">
        <w:t>»</w:t>
      </w:r>
      <w:r w:rsidRPr="002F64E6">
        <w:t xml:space="preserve">, а в управлении средствами корпоративных клиентов - </w:t>
      </w:r>
      <w:r w:rsidR="00E77AB9">
        <w:t>«</w:t>
      </w:r>
      <w:r w:rsidRPr="002F64E6">
        <w:t>ПРОМСВЯЗЬ</w:t>
      </w:r>
      <w:r w:rsidR="00E77AB9">
        <w:t>»</w:t>
      </w:r>
      <w:r w:rsidRPr="002F64E6">
        <w:t xml:space="preserve">, </w:t>
      </w:r>
      <w:r w:rsidR="00E77AB9">
        <w:t>«</w:t>
      </w:r>
      <w:r w:rsidRPr="002F64E6">
        <w:t>Альфа-Капитал</w:t>
      </w:r>
      <w:r w:rsidR="00E77AB9">
        <w:t>»</w:t>
      </w:r>
      <w:r w:rsidRPr="002F64E6">
        <w:t xml:space="preserve"> и </w:t>
      </w:r>
      <w:r w:rsidR="00E77AB9">
        <w:t>«</w:t>
      </w:r>
      <w:r w:rsidRPr="002F64E6">
        <w:t>РСХБ Управление Активами</w:t>
      </w:r>
      <w:r w:rsidR="00E77AB9">
        <w:t>»</w:t>
      </w:r>
      <w:r w:rsidRPr="002F64E6">
        <w:t>.</w:t>
      </w:r>
    </w:p>
    <w:p w14:paraId="2EFFA5C9" w14:textId="24D885CC" w:rsidR="00CB02E7" w:rsidRPr="002F64E6" w:rsidRDefault="00CB02E7" w:rsidP="00CB02E7">
      <w:r w:rsidRPr="002F64E6">
        <w:t xml:space="preserve">Мы по-прежнему отмечаем высокую готовность и заинтересованность управляющих компаний участвовать в </w:t>
      </w:r>
      <w:proofErr w:type="spellStart"/>
      <w:r w:rsidRPr="002F64E6">
        <w:t>рэнкинге</w:t>
      </w:r>
      <w:proofErr w:type="spellEnd"/>
      <w:r w:rsidRPr="002F64E6">
        <w:t xml:space="preserve">, подтверждающую востребованность проекта на рынке. </w:t>
      </w:r>
      <w:proofErr w:type="spellStart"/>
      <w:r w:rsidRPr="002F64E6">
        <w:t>Рэнкинг</w:t>
      </w:r>
      <w:proofErr w:type="spellEnd"/>
      <w:r w:rsidRPr="002F64E6">
        <w:t xml:space="preserve"> управляющих компаний выступает инструментом отраслевого сопоставительного анализа и формирует прозрачную систему координат для оценки масштабов бизнеса в различных сегментах. Участие в проекте позволяет компаниям подтвердить свои позиции на рынке, усилить конкурентное позиционирование и повысить уровень доверия со стороны клиентов и партнеров. Отметим также, что 15 компаний </w:t>
      </w:r>
      <w:proofErr w:type="spellStart"/>
      <w:r w:rsidRPr="002F64E6">
        <w:t>рэнкинга</w:t>
      </w:r>
      <w:proofErr w:type="spellEnd"/>
      <w:r w:rsidRPr="002F64E6">
        <w:t xml:space="preserve"> имеют подтвержденный рейтинг надежности и качества услуг управляющих компаний от агентства </w:t>
      </w:r>
      <w:r w:rsidR="00E77AB9">
        <w:t>«</w:t>
      </w:r>
      <w:r w:rsidRPr="002F64E6">
        <w:t>Эксперт РА</w:t>
      </w:r>
      <w:r w:rsidR="00E77AB9">
        <w:t>»</w:t>
      </w:r>
      <w:r w:rsidRPr="002F64E6">
        <w:t>, что дополнительно повышает прозрачность и доверие в отрасли.</w:t>
      </w:r>
    </w:p>
    <w:p w14:paraId="0D72EFBE" w14:textId="7192A8AA" w:rsidR="00CB02E7" w:rsidRPr="002F64E6" w:rsidRDefault="000D71EB" w:rsidP="00CB02E7">
      <w:hyperlink r:id="rId8" w:history="1">
        <w:r w:rsidR="00CB02E7" w:rsidRPr="002F64E6">
          <w:rPr>
            <w:rStyle w:val="a3"/>
          </w:rPr>
          <w:t>https://raexpert.ru/rankings/managing/</w:t>
        </w:r>
      </w:hyperlink>
      <w:r w:rsidR="00CB02E7" w:rsidRPr="002F64E6">
        <w:t xml:space="preserve"> </w:t>
      </w:r>
    </w:p>
    <w:p w14:paraId="3F362CA5" w14:textId="65D91C8C" w:rsidR="005570DD" w:rsidRPr="002F64E6" w:rsidRDefault="005570DD" w:rsidP="005570DD">
      <w:pPr>
        <w:pStyle w:val="2"/>
      </w:pPr>
      <w:bookmarkStart w:id="31" w:name="_Toc223591091"/>
      <w:proofErr w:type="spellStart"/>
      <w:r w:rsidRPr="002F64E6">
        <w:t>CNews</w:t>
      </w:r>
      <w:proofErr w:type="spellEnd"/>
      <w:r w:rsidRPr="002F64E6">
        <w:t xml:space="preserve">, 04.03.2026, НПФ </w:t>
      </w:r>
      <w:r w:rsidR="00E77AB9">
        <w:t>«</w:t>
      </w:r>
      <w:r w:rsidRPr="002F64E6">
        <w:t>Профессиональный</w:t>
      </w:r>
      <w:r w:rsidR="00E77AB9">
        <w:t>»</w:t>
      </w:r>
      <w:r w:rsidRPr="002F64E6">
        <w:t xml:space="preserve"> внедрил ИИ-платформу GPTZATOR в изолированном контуре</w:t>
      </w:r>
      <w:bookmarkEnd w:id="31"/>
    </w:p>
    <w:p w14:paraId="1C5B9388" w14:textId="7A0A9DC1" w:rsidR="005570DD" w:rsidRPr="002F64E6" w:rsidRDefault="005570DD" w:rsidP="003F5B32">
      <w:pPr>
        <w:pStyle w:val="3"/>
      </w:pPr>
      <w:bookmarkStart w:id="32" w:name="_Toc223591092"/>
      <w:r w:rsidRPr="002F64E6">
        <w:t xml:space="preserve">Внедрение ИИ-платформы GPTZATOR в НПФ </w:t>
      </w:r>
      <w:r w:rsidR="00E77AB9">
        <w:t>«</w:t>
      </w:r>
      <w:r w:rsidRPr="002F64E6">
        <w:t>Профессиональный</w:t>
      </w:r>
      <w:r w:rsidR="00E77AB9">
        <w:t>»</w:t>
      </w:r>
      <w:r w:rsidRPr="002F64E6">
        <w:t xml:space="preserve"> стало ответом на вызовы, с которыми сталкиваются многие компании при работе с документами. Заявки в НПФ поступают не только в печатном, но также и в рукописном виде. Ранее, до старта проекта, операторы вручную просматривали сканы и переносили данные в </w:t>
      </w:r>
      <w:r w:rsidR="00E77AB9">
        <w:t>«</w:t>
      </w:r>
      <w:r w:rsidRPr="002F64E6">
        <w:t>1</w:t>
      </w:r>
      <w:proofErr w:type="gramStart"/>
      <w:r w:rsidRPr="002F64E6">
        <w:t>С:Бухгалтерия</w:t>
      </w:r>
      <w:proofErr w:type="gramEnd"/>
      <w:r w:rsidR="00E77AB9">
        <w:t>»</w:t>
      </w:r>
      <w:r w:rsidRPr="002F64E6">
        <w:t xml:space="preserve">. Процесс обработки заявок требовал больших трудозатрат и был подвержен ошибкам, что создавало риски для точности учета. Об этом </w:t>
      </w:r>
      <w:proofErr w:type="spellStart"/>
      <w:r w:rsidRPr="002F64E6">
        <w:t>CNews</w:t>
      </w:r>
      <w:proofErr w:type="spellEnd"/>
      <w:r w:rsidRPr="002F64E6">
        <w:t xml:space="preserve"> сообщили представители ГК </w:t>
      </w:r>
      <w:proofErr w:type="spellStart"/>
      <w:r w:rsidRPr="002F64E6">
        <w:t>Lad</w:t>
      </w:r>
      <w:proofErr w:type="spellEnd"/>
      <w:r w:rsidRPr="002F64E6">
        <w:t>.</w:t>
      </w:r>
      <w:bookmarkEnd w:id="32"/>
    </w:p>
    <w:p w14:paraId="003776DE" w14:textId="77777777" w:rsidR="005570DD" w:rsidRPr="002F64E6" w:rsidRDefault="005570DD" w:rsidP="005570DD">
      <w:r w:rsidRPr="002F64E6">
        <w:t>Для повышения эффективности и надежности бизнес-процессов необходим был переход к автоматизированному управлению данными, где ИИ берет на себя рутинные задачи, а сотрудники фокусируются на более сложных стратегических вопросах. Одним из ключевых критериев отбора ИИ-платформы стало требование заказчика о размещении решения в изолированном корпоративном контуре с целью соответствия внутренним политикам информационной безопасности и регуляторным требованиям.</w:t>
      </w:r>
    </w:p>
    <w:p w14:paraId="6AD7C770" w14:textId="3096381C" w:rsidR="005570DD" w:rsidRPr="002F64E6" w:rsidRDefault="005570DD" w:rsidP="005570DD">
      <w:r w:rsidRPr="002F64E6">
        <w:t xml:space="preserve">С решением этого запроса НПФ </w:t>
      </w:r>
      <w:r w:rsidR="00E77AB9">
        <w:t>«</w:t>
      </w:r>
      <w:r w:rsidRPr="002F64E6">
        <w:t>Профессиональный</w:t>
      </w:r>
      <w:r w:rsidR="00E77AB9">
        <w:t>»</w:t>
      </w:r>
      <w:r w:rsidRPr="002F64E6">
        <w:t xml:space="preserve"> обратились к группе ИT-компаний </w:t>
      </w:r>
      <w:proofErr w:type="spellStart"/>
      <w:r w:rsidRPr="002F64E6">
        <w:t>Lad</w:t>
      </w:r>
      <w:proofErr w:type="spellEnd"/>
      <w:r w:rsidRPr="002F64E6">
        <w:t>.</w:t>
      </w:r>
    </w:p>
    <w:p w14:paraId="730AF4A5" w14:textId="689D4431" w:rsidR="005570DD" w:rsidRPr="002F64E6" w:rsidRDefault="00E77AB9" w:rsidP="005570DD">
      <w:r>
        <w:lastRenderedPageBreak/>
        <w:t>«</w:t>
      </w:r>
      <w:r w:rsidR="005570DD" w:rsidRPr="002F64E6">
        <w:t>Внедрить ИИ-интеграцию и разгрузить сотрудников от рутины, освобождая время для действительно важных задач по взаимодействию с клиентами фонда – это своего рода инвестиция. Рынок растет, важно верно и своевременно использовать доступные инструменты. Наш выбор пал на GPTZATOR: получили адекватное предложение, и команда продукта понимала, что мы хотим</w:t>
      </w:r>
      <w:r>
        <w:t>»</w:t>
      </w:r>
      <w:r w:rsidR="005570DD" w:rsidRPr="002F64E6">
        <w:t xml:space="preserve">, – сказал Алексей </w:t>
      </w:r>
      <w:proofErr w:type="spellStart"/>
      <w:r w:rsidR="005570DD" w:rsidRPr="002F64E6">
        <w:t>Волжин</w:t>
      </w:r>
      <w:proofErr w:type="spellEnd"/>
      <w:r w:rsidR="005570DD" w:rsidRPr="002F64E6">
        <w:t xml:space="preserve">, руководитель проекта НПФ </w:t>
      </w:r>
      <w:r>
        <w:t>«</w:t>
      </w:r>
      <w:r w:rsidR="005570DD" w:rsidRPr="002F64E6">
        <w:t>Профессиональный</w:t>
      </w:r>
      <w:r>
        <w:t>»</w:t>
      </w:r>
      <w:r w:rsidR="005570DD" w:rsidRPr="002F64E6">
        <w:t>.</w:t>
      </w:r>
    </w:p>
    <w:p w14:paraId="065847D2" w14:textId="5B607E41" w:rsidR="005570DD" w:rsidRPr="002F64E6" w:rsidRDefault="005570DD" w:rsidP="005570DD">
      <w:r w:rsidRPr="002F64E6">
        <w:t xml:space="preserve">Платформа GPTZATOR включена в Реестр российского программного обеспечения и сертифицирована как совместимая с экосистемой </w:t>
      </w:r>
      <w:r w:rsidR="00E77AB9">
        <w:t>«</w:t>
      </w:r>
      <w:r w:rsidRPr="002F64E6">
        <w:t>1С</w:t>
      </w:r>
      <w:r w:rsidR="00E77AB9">
        <w:t>»</w:t>
      </w:r>
      <w:r w:rsidRPr="002F64E6">
        <w:t>. GPTZATOR обеспечивает защиту конфиденциальных данных: платформа функционирует в изолированном режиме, без подключения к внешним сетям, что обеспечивает контроль над данными и соответствие требованиям информационной безопасности.</w:t>
      </w:r>
    </w:p>
    <w:p w14:paraId="03C7E9BB" w14:textId="5F04B499" w:rsidR="005570DD" w:rsidRPr="002F64E6" w:rsidRDefault="005570DD" w:rsidP="005570DD">
      <w:r w:rsidRPr="002F64E6">
        <w:t xml:space="preserve">В ходе проекта команда </w:t>
      </w:r>
      <w:proofErr w:type="spellStart"/>
      <w:r w:rsidRPr="002F64E6">
        <w:t>Lad</w:t>
      </w:r>
      <w:proofErr w:type="spellEnd"/>
      <w:r w:rsidRPr="002F64E6">
        <w:t xml:space="preserve"> интегрировала GPTZATOR, собственную ИИ-платформу для бизнеса, в 1С-контур заказчика. Был настроен ИИ-ассистент с профильным навыком обработки входящих заявок: он автоматически принимает сканы (в том числе с рукописным текстом), распознает и структурирует ключевые данные с помощью OCR, затем передает их в </w:t>
      </w:r>
      <w:r w:rsidR="00E77AB9">
        <w:t>«</w:t>
      </w:r>
      <w:r w:rsidRPr="002F64E6">
        <w:t>1С</w:t>
      </w:r>
      <w:r w:rsidR="00E77AB9">
        <w:t>»</w:t>
      </w:r>
      <w:r w:rsidRPr="002F64E6">
        <w:t xml:space="preserve"> и </w:t>
      </w:r>
      <w:proofErr w:type="spellStart"/>
      <w:r w:rsidRPr="002F64E6">
        <w:t>предзаполняет</w:t>
      </w:r>
      <w:proofErr w:type="spellEnd"/>
      <w:r w:rsidRPr="002F64E6">
        <w:t xml:space="preserve"> соответствующие документы.</w:t>
      </w:r>
    </w:p>
    <w:p w14:paraId="275E6561" w14:textId="77777777" w:rsidR="005570DD" w:rsidRPr="002F64E6" w:rsidRDefault="005570DD" w:rsidP="005570DD">
      <w:r w:rsidRPr="002F64E6">
        <w:t>Помимо базового сценария обработки заявок, команда совместно с заказчиком доработала модуль распознавания бухгалтерских документов, адаптировав его под форматы, используемые в НПФ. Это позволило повысить точность извлечения данных и сократить ручную корректировку.</w:t>
      </w:r>
    </w:p>
    <w:p w14:paraId="6B6407C9" w14:textId="3CC0A48B" w:rsidR="005570DD" w:rsidRPr="002F64E6" w:rsidRDefault="005570DD" w:rsidP="005570DD">
      <w:r w:rsidRPr="002F64E6">
        <w:t xml:space="preserve">Внедрение ИИ-ассистента в Негосударственный пенсионный фонд значительно трансформирует внутренние бизнес-процессы, переводя их с ручного режима в автоматизированный. Основной ожидаемый эффект проекта — сокращение времени, необходимого для обработки входящих заявок и формирования всех видов документов в </w:t>
      </w:r>
      <w:r w:rsidR="00E77AB9">
        <w:t>«</w:t>
      </w:r>
      <w:r w:rsidRPr="002F64E6">
        <w:t>1С</w:t>
      </w:r>
      <w:r w:rsidR="00E77AB9">
        <w:t>»</w:t>
      </w:r>
      <w:r w:rsidRPr="002F64E6">
        <w:t>, что напрямую влияет на скорость обслуживания клиентов.</w:t>
      </w:r>
    </w:p>
    <w:p w14:paraId="778BAA25" w14:textId="7A286E64" w:rsidR="005570DD" w:rsidRPr="002F64E6" w:rsidRDefault="005570DD" w:rsidP="005570DD">
      <w:r w:rsidRPr="002F64E6">
        <w:t xml:space="preserve">В дальнейшем НПФ </w:t>
      </w:r>
      <w:r w:rsidR="00E77AB9">
        <w:t>«</w:t>
      </w:r>
      <w:r w:rsidRPr="002F64E6">
        <w:t>Профессиональный</w:t>
      </w:r>
      <w:r w:rsidR="00E77AB9">
        <w:t>»</w:t>
      </w:r>
      <w:r w:rsidRPr="002F64E6">
        <w:t xml:space="preserve"> планирует внедрять и другие модули GPTZATOR для автоматизации смежных процессов, продолжая повышать эффективность работы сотрудников.</w:t>
      </w:r>
    </w:p>
    <w:p w14:paraId="161503B4" w14:textId="69EE2238" w:rsidR="00111D7C" w:rsidRPr="002F64E6" w:rsidRDefault="000D71EB" w:rsidP="005570DD">
      <w:hyperlink r:id="rId9" w:history="1">
        <w:r w:rsidR="005570DD" w:rsidRPr="002F64E6">
          <w:rPr>
            <w:rStyle w:val="a3"/>
          </w:rPr>
          <w:t>https://www.cnews.ru/news/line/2026-03-04_npf_professionalnyj_vnedril</w:t>
        </w:r>
      </w:hyperlink>
    </w:p>
    <w:p w14:paraId="5B603ACB" w14:textId="241CDEB1" w:rsidR="0015381F" w:rsidRDefault="00E8608B" w:rsidP="0015381F">
      <w:pPr>
        <w:pStyle w:val="2"/>
      </w:pPr>
      <w:bookmarkStart w:id="33" w:name="_Toc223591093"/>
      <w:r>
        <w:rPr>
          <w:lang w:val="en-US"/>
        </w:rPr>
        <w:t>Frank</w:t>
      </w:r>
      <w:r w:rsidRPr="00C61E9A">
        <w:t xml:space="preserve"> </w:t>
      </w:r>
      <w:r>
        <w:rPr>
          <w:lang w:val="en-US"/>
        </w:rPr>
        <w:t>Media</w:t>
      </w:r>
      <w:r w:rsidR="0015381F" w:rsidRPr="0015381F">
        <w:t xml:space="preserve">, 04.03.2026, </w:t>
      </w:r>
      <w:r w:rsidR="00327670" w:rsidRPr="00327670">
        <w:t>Куратор НПФ в Минфине Наталия Каменская перешла в «</w:t>
      </w:r>
      <w:proofErr w:type="spellStart"/>
      <w:r w:rsidR="00327670" w:rsidRPr="00327670">
        <w:t>Сбер</w:t>
      </w:r>
      <w:proofErr w:type="spellEnd"/>
      <w:r w:rsidR="00327670" w:rsidRPr="00327670">
        <w:t>»</w:t>
      </w:r>
      <w:bookmarkEnd w:id="33"/>
    </w:p>
    <w:p w14:paraId="7A6B9F41" w14:textId="77777777" w:rsidR="00327670" w:rsidRDefault="00327670" w:rsidP="00327670">
      <w:pPr>
        <w:pStyle w:val="3"/>
      </w:pPr>
      <w:bookmarkStart w:id="34" w:name="_Toc223591094"/>
      <w:r>
        <w:t>Возглавлявшая отдел регулирования негосударственных пенсионных фондов (НПФ) в Минфине Наталия Каменская перешла на работу в «</w:t>
      </w:r>
      <w:proofErr w:type="spellStart"/>
      <w:r>
        <w:t>Сбер</w:t>
      </w:r>
      <w:proofErr w:type="spellEnd"/>
      <w:r>
        <w:t xml:space="preserve"> НПФ». Об этом стало известно на «Форуме лидеров управления активами» «Эксперт РА», где Каменская публично выступила в новом статусе, передает корреспондент </w:t>
      </w:r>
      <w:proofErr w:type="spellStart"/>
      <w:r>
        <w:t>Frank</w:t>
      </w:r>
      <w:proofErr w:type="spellEnd"/>
      <w:r>
        <w:t xml:space="preserve"> </w:t>
      </w:r>
      <w:proofErr w:type="spellStart"/>
      <w:r>
        <w:t>Media</w:t>
      </w:r>
      <w:proofErr w:type="spellEnd"/>
      <w:r>
        <w:t>.</w:t>
      </w:r>
      <w:bookmarkEnd w:id="34"/>
    </w:p>
    <w:p w14:paraId="0DC98876" w14:textId="77777777" w:rsidR="00327670" w:rsidRDefault="00327670" w:rsidP="00327670">
      <w:r>
        <w:t>В пенсионном фонде «</w:t>
      </w:r>
      <w:proofErr w:type="spellStart"/>
      <w:r>
        <w:t>Сбера</w:t>
      </w:r>
      <w:proofErr w:type="spellEnd"/>
      <w:r>
        <w:t>» она заняла должность директора по GR (взаимодействию с госорганами) и юридическому сопровождению. Как пояснили в пресс-службе «</w:t>
      </w:r>
      <w:proofErr w:type="spellStart"/>
      <w:r>
        <w:t>Сбера</w:t>
      </w:r>
      <w:proofErr w:type="spellEnd"/>
      <w:r>
        <w:t xml:space="preserve"> НПФ», ранее такой должности в фонде не было, и задачи распределялись между несколькими департаментами. «С учётом масштабных изменений индустрии, роста рынка и нашего бизнеса мы решили более чётко структурировать управленческий контур», — отметили там.</w:t>
      </w:r>
    </w:p>
    <w:p w14:paraId="35CCADC2" w14:textId="0784D67C" w:rsidR="0015381F" w:rsidRPr="00C61E9A" w:rsidRDefault="00327670" w:rsidP="00327670">
      <w:r>
        <w:lastRenderedPageBreak/>
        <w:t xml:space="preserve">«В новой роли Наталия будет выстраивать системную работу с представителями государственных органов и профильных ведомств. В числе приоритетов — развитие программы долгосрочных сбережений и негосударственного пенсионного обеспечения. В фокусе будет поддержка инициатив по запуску </w:t>
      </w:r>
      <w:proofErr w:type="spellStart"/>
      <w:r>
        <w:t>софинансирования</w:t>
      </w:r>
      <w:proofErr w:type="spellEnd"/>
      <w:r>
        <w:t xml:space="preserve"> для детей, расширение перечня особых жизненных ситуаций, а также совершенствование инвестиционных возможностей НПФ», — рассказали в пресс-службе.</w:t>
      </w:r>
    </w:p>
    <w:p w14:paraId="5B4DA6A2" w14:textId="77777777" w:rsidR="00327670" w:rsidRPr="004368CA" w:rsidRDefault="00327670" w:rsidP="00327670">
      <w:r w:rsidRPr="004368CA">
        <w:t>В период работы Каменской в Минфине ведомство совместно с ЦБ разработало и запустило программу долгосрочных сбережений (ПДС). На конец 2025 года в нее удалось привлечь 717 млрд рублей, около 1,5 трлн рублей вложений ЦБ ожидает увидеть к концу 2026 года. Число договоров превысило 10 млн. Как отметили в «</w:t>
      </w:r>
      <w:proofErr w:type="spellStart"/>
      <w:r w:rsidRPr="004368CA">
        <w:t>Сбере</w:t>
      </w:r>
      <w:proofErr w:type="spellEnd"/>
      <w:r w:rsidRPr="004368CA">
        <w:t xml:space="preserve"> НПФ», Каменская была одним из разработчиков программы и в последние два года «активно занималась ее продвижением».</w:t>
      </w:r>
    </w:p>
    <w:p w14:paraId="4CFE701D" w14:textId="77777777" w:rsidR="00327670" w:rsidRPr="004368CA" w:rsidRDefault="00327670" w:rsidP="00327670">
      <w:r w:rsidRPr="004368CA">
        <w:t>«Уверены, что экспертиза и опыт Наталии позволят нам быстрее запускать новые масштабные решения и делать наши продукты более гибкими», — рассчитывают в фонде.</w:t>
      </w:r>
    </w:p>
    <w:p w14:paraId="3EB16641" w14:textId="581FEB84" w:rsidR="00327670" w:rsidRPr="004368CA" w:rsidRDefault="00327670" w:rsidP="00327670">
      <w:r w:rsidRPr="00327670">
        <w:rPr>
          <w:lang w:val="en-US"/>
        </w:rPr>
        <w:t>Frank</w:t>
      </w:r>
      <w:r w:rsidRPr="004368CA">
        <w:t xml:space="preserve"> </w:t>
      </w:r>
      <w:r w:rsidRPr="00327670">
        <w:rPr>
          <w:lang w:val="en-US"/>
        </w:rPr>
        <w:t>Media</w:t>
      </w:r>
      <w:r w:rsidRPr="004368CA">
        <w:t xml:space="preserve"> направили запросы Минфин.</w:t>
      </w:r>
    </w:p>
    <w:p w14:paraId="58EA23ED" w14:textId="36A635F4" w:rsidR="00327670" w:rsidRPr="00C61E9A" w:rsidRDefault="000D71EB" w:rsidP="00327670">
      <w:hyperlink r:id="rId10" w:history="1">
        <w:r w:rsidR="00327670" w:rsidRPr="00C91C33">
          <w:rPr>
            <w:rStyle w:val="a3"/>
            <w:lang w:val="en-US"/>
          </w:rPr>
          <w:t>https</w:t>
        </w:r>
        <w:r w:rsidR="00327670" w:rsidRPr="00C61E9A">
          <w:rPr>
            <w:rStyle w:val="a3"/>
          </w:rPr>
          <w:t>://</w:t>
        </w:r>
        <w:proofErr w:type="spellStart"/>
        <w:r w:rsidR="00327670" w:rsidRPr="00C91C33">
          <w:rPr>
            <w:rStyle w:val="a3"/>
            <w:lang w:val="en-US"/>
          </w:rPr>
          <w:t>frankmedia</w:t>
        </w:r>
        <w:proofErr w:type="spellEnd"/>
        <w:r w:rsidR="00327670" w:rsidRPr="00C61E9A">
          <w:rPr>
            <w:rStyle w:val="a3"/>
          </w:rPr>
          <w:t>.</w:t>
        </w:r>
        <w:proofErr w:type="spellStart"/>
        <w:r w:rsidR="00327670" w:rsidRPr="00C91C33">
          <w:rPr>
            <w:rStyle w:val="a3"/>
            <w:lang w:val="en-US"/>
          </w:rPr>
          <w:t>ru</w:t>
        </w:r>
        <w:proofErr w:type="spellEnd"/>
        <w:r w:rsidR="00327670" w:rsidRPr="00C61E9A">
          <w:rPr>
            <w:rStyle w:val="a3"/>
          </w:rPr>
          <w:t>/265288</w:t>
        </w:r>
      </w:hyperlink>
      <w:r w:rsidR="00327670" w:rsidRPr="00C61E9A">
        <w:t xml:space="preserve"> </w:t>
      </w:r>
    </w:p>
    <w:p w14:paraId="30BEA623" w14:textId="77777777" w:rsidR="00327670" w:rsidRPr="00C61E9A" w:rsidRDefault="00327670" w:rsidP="00327670"/>
    <w:p w14:paraId="3F3BD793" w14:textId="77777777" w:rsidR="00111D7C" w:rsidRPr="002F64E6" w:rsidRDefault="00111D7C" w:rsidP="00111D7C">
      <w:pPr>
        <w:pStyle w:val="10"/>
      </w:pPr>
      <w:bookmarkStart w:id="35" w:name="_Toc165991073"/>
      <w:bookmarkStart w:id="36" w:name="_Toc223591095"/>
      <w:bookmarkStart w:id="37" w:name="_Toc99271691"/>
      <w:bookmarkStart w:id="38" w:name="_Toc99318654"/>
      <w:bookmarkStart w:id="39" w:name="_Toc99318783"/>
      <w:bookmarkStart w:id="40" w:name="_Toc396864672"/>
      <w:r w:rsidRPr="002F64E6">
        <w:t>Программа долгосрочных сбережений</w:t>
      </w:r>
      <w:bookmarkEnd w:id="35"/>
      <w:bookmarkEnd w:id="36"/>
    </w:p>
    <w:p w14:paraId="068FCAF6" w14:textId="77777777" w:rsidR="007471EB" w:rsidRPr="002F64E6" w:rsidRDefault="007471EB" w:rsidP="007471EB">
      <w:pPr>
        <w:pStyle w:val="2"/>
      </w:pPr>
      <w:bookmarkStart w:id="41" w:name="ф2"/>
      <w:bookmarkStart w:id="42" w:name="_Toc223591096"/>
      <w:bookmarkEnd w:id="41"/>
      <w:proofErr w:type="spellStart"/>
      <w:r w:rsidRPr="002F64E6">
        <w:t>Финмаркет</w:t>
      </w:r>
      <w:proofErr w:type="spellEnd"/>
      <w:r w:rsidRPr="002F64E6">
        <w:t>, 04.03.2026, ЦБ РФ прогнозирует увеличение объема вложений в ПДС к концу текущего года до 1,5 трлн руб.</w:t>
      </w:r>
      <w:bookmarkEnd w:id="42"/>
    </w:p>
    <w:p w14:paraId="5569F3BE" w14:textId="77777777" w:rsidR="007471EB" w:rsidRPr="002F64E6" w:rsidRDefault="007471EB" w:rsidP="003F5B32">
      <w:pPr>
        <w:pStyle w:val="3"/>
      </w:pPr>
      <w:bookmarkStart w:id="43" w:name="_Toc223591097"/>
      <w:r w:rsidRPr="002F64E6">
        <w:t xml:space="preserve">Банк России ожидает, что по итогам 2026 года объем вложений в рамках программы долгосрочных сбережений (ПДС) может достигнуть 1,5 трлн рублей, сообщила директор департамента инвестиционных финансовых посредников ЦБ Ольга </w:t>
      </w:r>
      <w:proofErr w:type="spellStart"/>
      <w:r w:rsidRPr="002F64E6">
        <w:t>Шишлянникова</w:t>
      </w:r>
      <w:proofErr w:type="spellEnd"/>
      <w:r w:rsidRPr="002F64E6">
        <w:t>.</w:t>
      </w:r>
      <w:bookmarkEnd w:id="43"/>
    </w:p>
    <w:p w14:paraId="5CB89896" w14:textId="385E3571" w:rsidR="007471EB" w:rsidRPr="002F64E6" w:rsidRDefault="00E77AB9" w:rsidP="007471EB">
      <w:r>
        <w:t>«</w:t>
      </w:r>
      <w:r w:rsidR="007471EB" w:rsidRPr="002F64E6">
        <w:t>Мы рассчитываем, что сумма может удвоиться относительно той, которая была на конец 2025 года. То есть у нас было 717 млрд, мы рассчитываем, что может быть 1,5 трлн</w:t>
      </w:r>
      <w:r>
        <w:t>»</w:t>
      </w:r>
      <w:r w:rsidR="007471EB" w:rsidRPr="002F64E6">
        <w:t xml:space="preserve">, - сказала </w:t>
      </w:r>
      <w:proofErr w:type="spellStart"/>
      <w:r w:rsidR="007471EB" w:rsidRPr="002F64E6">
        <w:t>Шишлянникова</w:t>
      </w:r>
      <w:proofErr w:type="spellEnd"/>
      <w:r w:rsidR="007471EB" w:rsidRPr="002F64E6">
        <w:t xml:space="preserve"> журналистам в кулуарах </w:t>
      </w:r>
      <w:r>
        <w:t>«</w:t>
      </w:r>
      <w:r w:rsidR="007471EB" w:rsidRPr="002F64E6">
        <w:t>Форума лидеров рынка управления активами</w:t>
      </w:r>
      <w:r>
        <w:t>»</w:t>
      </w:r>
      <w:r w:rsidR="007471EB" w:rsidRPr="002F64E6">
        <w:t xml:space="preserve">, организованного </w:t>
      </w:r>
      <w:r>
        <w:t>«</w:t>
      </w:r>
      <w:r w:rsidR="007471EB" w:rsidRPr="002F64E6">
        <w:t>Эксперт РА</w:t>
      </w:r>
      <w:r>
        <w:t>»</w:t>
      </w:r>
      <w:r w:rsidR="007471EB" w:rsidRPr="002F64E6">
        <w:t>.</w:t>
      </w:r>
    </w:p>
    <w:p w14:paraId="30C2A728" w14:textId="0E7F7E7F" w:rsidR="007471EB" w:rsidRPr="002F64E6" w:rsidRDefault="007471EB" w:rsidP="007471EB">
      <w:r w:rsidRPr="002F64E6">
        <w:t xml:space="preserve">ЦБ, по ее словам, хотел бы видеть переориентацию этого инструмента на более молодую возрастную группу. </w:t>
      </w:r>
      <w:r w:rsidR="00E77AB9">
        <w:t>«</w:t>
      </w:r>
      <w:bookmarkStart w:id="44" w:name="_Hlk223526979"/>
      <w:r w:rsidRPr="002F64E6">
        <w:t xml:space="preserve">Что нас расстраивает в этом инструменте? Это состав участников. Мы видим, что к сожалению, инструмент, который, мы рассчитывали, будет пользоваться спросом у лиц среднего возраста и молодежи, к сожалению, пользуется огромным спросом у лиц </w:t>
      </w:r>
      <w:proofErr w:type="spellStart"/>
      <w:r w:rsidRPr="002F64E6">
        <w:t>предпенсионного</w:t>
      </w:r>
      <w:proofErr w:type="spellEnd"/>
      <w:r w:rsidRPr="002F64E6">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bookmarkEnd w:id="44"/>
      <w:r w:rsidR="00E77AB9">
        <w:t>»</w:t>
      </w:r>
      <w:r w:rsidRPr="002F64E6">
        <w:t xml:space="preserve">, - отметила глава департамента ЦБ. </w:t>
      </w:r>
      <w:proofErr w:type="spellStart"/>
      <w:r w:rsidRPr="002F64E6">
        <w:t>Шишлянникова</w:t>
      </w:r>
      <w:proofErr w:type="spellEnd"/>
      <w:r w:rsidRPr="002F64E6">
        <w:t xml:space="preserve"> напомнила, что сейчас в этой части готовятся поправки.</w:t>
      </w:r>
    </w:p>
    <w:p w14:paraId="36937C41" w14:textId="77777777" w:rsidR="007471EB" w:rsidRPr="002F64E6" w:rsidRDefault="007471EB" w:rsidP="007471EB">
      <w:r w:rsidRPr="002F64E6">
        <w:lastRenderedPageBreak/>
        <w:t xml:space="preserve">В феврале замминистра финансов Иван </w:t>
      </w:r>
      <w:proofErr w:type="spellStart"/>
      <w:r w:rsidRPr="002F64E6">
        <w:t>Чебесков</w:t>
      </w:r>
      <w:proofErr w:type="spellEnd"/>
      <w:r w:rsidRPr="002F64E6">
        <w:t xml:space="preserve"> сообщал о подготовке законопроекта, который увеличивает минимальный срок для вывода средств </w:t>
      </w:r>
      <w:proofErr w:type="spellStart"/>
      <w:r w:rsidRPr="002F64E6">
        <w:t>софинансирования</w:t>
      </w:r>
      <w:proofErr w:type="spellEnd"/>
      <w:r w:rsidRPr="002F64E6">
        <w:t xml:space="preserve"> в рамках ПДС до пяти лет.</w:t>
      </w:r>
    </w:p>
    <w:p w14:paraId="53129178" w14:textId="0639BE98" w:rsidR="007471EB" w:rsidRPr="002F64E6" w:rsidRDefault="00E77AB9" w:rsidP="007471EB">
      <w:r>
        <w:t>«</w:t>
      </w:r>
      <w:r w:rsidR="007471EB" w:rsidRPr="002F64E6">
        <w:t xml:space="preserve">Мы поддерживаем эту историю. Иначе те льготы, которые предусмотрены, работают неэффективно. Государство готово было </w:t>
      </w:r>
      <w:proofErr w:type="spellStart"/>
      <w:r w:rsidR="007471EB" w:rsidRPr="002F64E6">
        <w:t>льготировать</w:t>
      </w:r>
      <w:proofErr w:type="spellEnd"/>
      <w:r w:rsidR="007471EB" w:rsidRPr="002F64E6">
        <w:t xml:space="preserve"> это с учетом того, что деньги будут длинными</w:t>
      </w:r>
      <w:r>
        <w:t>»</w:t>
      </w:r>
      <w:r w:rsidR="007471EB" w:rsidRPr="002F64E6">
        <w:t xml:space="preserve">, - добавила </w:t>
      </w:r>
      <w:proofErr w:type="spellStart"/>
      <w:r w:rsidR="007471EB" w:rsidRPr="002F64E6">
        <w:t>Шишлянникова</w:t>
      </w:r>
      <w:proofErr w:type="spellEnd"/>
      <w:r w:rsidR="007471EB" w:rsidRPr="002F64E6">
        <w:t xml:space="preserve">. По ее словам, дополнительных льгот для повышения популярности ПДС у молодежи не планируется. </w:t>
      </w:r>
      <w:r>
        <w:t>«</w:t>
      </w:r>
      <w:r w:rsidR="007471EB" w:rsidRPr="002F64E6">
        <w:t>Мне кажется, что те льготы, которые уже предоставлены, и так очень значительные</w:t>
      </w:r>
      <w:r>
        <w:t>»</w:t>
      </w:r>
      <w:r w:rsidR="007471EB" w:rsidRPr="002F64E6">
        <w:t>, - сказала глава департамента ЦБ.</w:t>
      </w:r>
    </w:p>
    <w:p w14:paraId="0A6389DB" w14:textId="77777777" w:rsidR="007471EB" w:rsidRPr="002F64E6" w:rsidRDefault="007471EB" w:rsidP="007471EB">
      <w:r w:rsidRPr="002F64E6">
        <w:t xml:space="preserve">Программа долгосрочных сбережений была запущена в 2024 году. Она предусматривает государственное </w:t>
      </w:r>
      <w:proofErr w:type="spellStart"/>
      <w:r w:rsidRPr="002F64E6">
        <w:t>софинансирование</w:t>
      </w:r>
      <w:proofErr w:type="spellEnd"/>
      <w:r w:rsidRPr="002F64E6">
        <w:t xml:space="preserve"> взносов на протяжении 10 лет в размере до 36 тыс. рублей в год, а также право на налоговый вычет. Средства граждан, внесенные в рамках программы, застрахованы на сумму 2,8 млн рублей. По условиям программы, единовременное снятие средств возможно после 15 лет участия в ней или после достижения 55 лет для женщин и 60 лет для мужчин.</w:t>
      </w:r>
    </w:p>
    <w:p w14:paraId="27AC4132" w14:textId="77777777" w:rsidR="007471EB" w:rsidRPr="002F64E6" w:rsidRDefault="007471EB" w:rsidP="007471EB">
      <w:r w:rsidRPr="002F64E6">
        <w:t>По данным Минфина, граждане с момента запуска ПДС заключили более 10 млн договоров, объем привлеченных средств превысил 717 млрд рублей.</w:t>
      </w:r>
    </w:p>
    <w:p w14:paraId="164DDC34" w14:textId="77777777" w:rsidR="007471EB" w:rsidRPr="002F64E6" w:rsidRDefault="007471EB" w:rsidP="007471EB">
      <w:r w:rsidRPr="002F64E6">
        <w:t>Согласно поручению президента РФ Владимира Путина, целевой показатель по объему вложений в рамках этой программы в 2026 году должен составить не менее 1% ВВП.</w:t>
      </w:r>
    </w:p>
    <w:p w14:paraId="312ABB9E" w14:textId="028BC20D" w:rsidR="007471EB" w:rsidRPr="002F64E6" w:rsidRDefault="000D71EB" w:rsidP="007471EB">
      <w:hyperlink r:id="rId11" w:history="1">
        <w:r w:rsidR="007471EB" w:rsidRPr="002F64E6">
          <w:rPr>
            <w:rStyle w:val="a3"/>
          </w:rPr>
          <w:t>http://www.finmarket.ru/news/6572444</w:t>
        </w:r>
      </w:hyperlink>
      <w:r w:rsidR="007471EB" w:rsidRPr="002F64E6">
        <w:t xml:space="preserve"> </w:t>
      </w:r>
    </w:p>
    <w:p w14:paraId="06D03E27" w14:textId="77777777" w:rsidR="00230759" w:rsidRPr="002F64E6" w:rsidRDefault="00230759" w:rsidP="00230759">
      <w:pPr>
        <w:pStyle w:val="2"/>
      </w:pPr>
      <w:bookmarkStart w:id="45" w:name="ф3"/>
      <w:bookmarkStart w:id="46" w:name="_Toc223591098"/>
      <w:bookmarkStart w:id="47" w:name="_GoBack"/>
      <w:bookmarkEnd w:id="45"/>
      <w:bookmarkEnd w:id="47"/>
      <w:r w:rsidRPr="002F64E6">
        <w:t>РИА Новости, 04.03.2026, ЦБ РФ драйвером роста программы долгосрочных сбережений видит переориентацию на молодежь</w:t>
      </w:r>
      <w:bookmarkEnd w:id="46"/>
    </w:p>
    <w:p w14:paraId="7DED16F6" w14:textId="77777777" w:rsidR="00230759" w:rsidRPr="002F64E6" w:rsidRDefault="00230759" w:rsidP="003F5B32">
      <w:pPr>
        <w:pStyle w:val="3"/>
      </w:pPr>
      <w:bookmarkStart w:id="48" w:name="_Toc223591099"/>
      <w:r w:rsidRPr="002F64E6">
        <w:t xml:space="preserve">Банк России драйвером роста программы долгосрочных сбережений (ПДС) видит переориентацию инструмента на молодежь и на лиц среднего возраста, сообщила директор департамента инвестиционных финансовых посредников регулятора Ольга </w:t>
      </w:r>
      <w:proofErr w:type="spellStart"/>
      <w:r w:rsidRPr="002F64E6">
        <w:t>Шишлянникова</w:t>
      </w:r>
      <w:proofErr w:type="spellEnd"/>
      <w:r w:rsidRPr="002F64E6">
        <w:t>.</w:t>
      </w:r>
      <w:bookmarkEnd w:id="48"/>
    </w:p>
    <w:p w14:paraId="0B96CF6F" w14:textId="7F765587" w:rsidR="00230759" w:rsidRPr="002F64E6" w:rsidRDefault="00E77AB9" w:rsidP="00230759">
      <w:r>
        <w:t>«</w:t>
      </w:r>
      <w:r w:rsidR="00230759" w:rsidRPr="002F64E6">
        <w:t xml:space="preserve">Что нас расстраивает в этом инструменте? Это состав участников - мы видим, что, к сожалению, инструмент, который мы рассчитывали будет пользоваться спросом у лиц среднего возраста и молодежи, к сожалению, пользуется огромным спросом у лиц </w:t>
      </w:r>
      <w:proofErr w:type="spellStart"/>
      <w:r w:rsidR="00230759" w:rsidRPr="002F64E6">
        <w:t>предпенсионного</w:t>
      </w:r>
      <w:proofErr w:type="spellEnd"/>
      <w:r w:rsidR="00230759" w:rsidRPr="002F64E6">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r>
        <w:t>»</w:t>
      </w:r>
      <w:r w:rsidR="00230759" w:rsidRPr="002F64E6">
        <w:t>, - сказала она, выступая на Форуме лидеров рынка управления активами.</w:t>
      </w:r>
    </w:p>
    <w:p w14:paraId="33A096BD" w14:textId="0824FE65" w:rsidR="00230759" w:rsidRPr="002F64E6" w:rsidRDefault="00E77AB9" w:rsidP="00230759">
      <w:r>
        <w:t>«</w:t>
      </w:r>
      <w:r w:rsidR="00230759" w:rsidRPr="002F64E6">
        <w:t>Здесь мы драйвером роста хотели бы видеть переориентацию этого инструмента на ту группу, на которую мы изначально рассчитывали, то есть на молодежь и на лиц среднего возраста. И поправки, которые мы обсуждаем и с рынком, и с министерством финансов, с которыми обязательно придем к Анатолию Геннадиевичу (глава комитета Госдумы по финансовому рынку Анатолий Аксаков - ред.), как раз они направлены на решение этих задач</w:t>
      </w:r>
      <w:r>
        <w:t>»</w:t>
      </w:r>
      <w:r w:rsidR="00230759" w:rsidRPr="002F64E6">
        <w:t>, - добавила она.</w:t>
      </w:r>
    </w:p>
    <w:p w14:paraId="32C39A17" w14:textId="77777777" w:rsidR="00230759" w:rsidRPr="002F64E6" w:rsidRDefault="00230759" w:rsidP="00230759">
      <w:r w:rsidRPr="002F64E6">
        <w:t xml:space="preserve">По ее словам, по итогам 2025 года в ПДС было привлечено 717 миллиардов рублей, в настоящее время эта цифра приближается к 800 миллиардам рублей. На конец прошлого </w:t>
      </w:r>
      <w:r w:rsidRPr="002F64E6">
        <w:lastRenderedPageBreak/>
        <w:t>года в программе было 9 миллионов участников, а сейчас их число превысило 10,5 миллиона.</w:t>
      </w:r>
    </w:p>
    <w:p w14:paraId="14FB3E7F" w14:textId="71B7B165" w:rsidR="00230759" w:rsidRPr="002F64E6" w:rsidRDefault="00E77AB9" w:rsidP="00230759">
      <w:r>
        <w:t>«</w:t>
      </w:r>
      <w:r w:rsidR="00230759" w:rsidRPr="002F64E6">
        <w:t>Из занимательных фактов - мы видим, что женщины чуть больше думают о будущем и долгосрочных сбережениях, чем мужчины. Но опять же из тех же занимательных фактов - денег у них чуть меньше, чем у мужчин, поэтому средний счет у женщин меньше, чем у мужчин</w:t>
      </w:r>
      <w:r>
        <w:t>»</w:t>
      </w:r>
      <w:r w:rsidR="00230759" w:rsidRPr="002F64E6">
        <w:t>, - рассказала она.</w:t>
      </w:r>
    </w:p>
    <w:p w14:paraId="05995553" w14:textId="77777777" w:rsidR="00230759" w:rsidRPr="002F64E6" w:rsidRDefault="00230759" w:rsidP="00230759">
      <w:r w:rsidRPr="002F64E6">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3B80ED7B" w14:textId="79A786A8" w:rsidR="00230759" w:rsidRPr="002F64E6" w:rsidRDefault="00230759" w:rsidP="00230759">
      <w:r w:rsidRPr="002F64E6">
        <w:t xml:space="preserve">Также участники программы смогут получить </w:t>
      </w:r>
      <w:proofErr w:type="spellStart"/>
      <w:r w:rsidRPr="002F64E6">
        <w:t>софинансирование</w:t>
      </w:r>
      <w:proofErr w:type="spellEnd"/>
      <w:r w:rsidRPr="002F64E6">
        <w:t xml:space="preserve">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 </w:t>
      </w:r>
    </w:p>
    <w:p w14:paraId="3959006F" w14:textId="3E14F573" w:rsidR="00CF3C1B" w:rsidRPr="002F64E6" w:rsidRDefault="00CF3C1B" w:rsidP="00CF3C1B">
      <w:pPr>
        <w:pStyle w:val="2"/>
      </w:pPr>
      <w:bookmarkStart w:id="49" w:name="ф4"/>
      <w:bookmarkStart w:id="50" w:name="_Toc223591100"/>
      <w:bookmarkEnd w:id="49"/>
      <w:r w:rsidRPr="002F64E6">
        <w:t xml:space="preserve">ТАСС, 04.03.2026, </w:t>
      </w:r>
      <w:bookmarkEnd w:id="50"/>
      <w:r w:rsidR="00D55B34" w:rsidRPr="00D55B34">
        <w:t>ЦБ видит слабый интерес молодежи к программе долгосрочных сбережений</w:t>
      </w:r>
    </w:p>
    <w:p w14:paraId="26726636" w14:textId="2E7575AA" w:rsidR="00CF3C1B" w:rsidRPr="002F64E6" w:rsidRDefault="00CF3C1B" w:rsidP="003F5B32">
      <w:pPr>
        <w:pStyle w:val="3"/>
      </w:pPr>
      <w:bookmarkStart w:id="51" w:name="_Toc223591101"/>
      <w:r w:rsidRPr="002F64E6">
        <w:t xml:space="preserve">Банк России видит, что рассчитанная на молодежь и людей среднего возраста программа долгосрочных сбережений (ПДС) пользуется большей популярностью у лиц </w:t>
      </w:r>
      <w:proofErr w:type="spellStart"/>
      <w:r w:rsidRPr="002F64E6">
        <w:t>предпенсионного</w:t>
      </w:r>
      <w:proofErr w:type="spellEnd"/>
      <w:r w:rsidRPr="002F64E6">
        <w:t xml:space="preserve"> и пенсионного возраста в силу тех льгот, которые государство дает по этим инструментам. Об этом в рамках II форума лидеров рынка управления активами, организованного рейтинговым агентством </w:t>
      </w:r>
      <w:r w:rsidR="00E77AB9">
        <w:t>«</w:t>
      </w:r>
      <w:r w:rsidRPr="002F64E6">
        <w:t>Эксперт РА</w:t>
      </w:r>
      <w:r w:rsidR="00E77AB9">
        <w:t>»</w:t>
      </w:r>
      <w:r w:rsidRPr="002F64E6">
        <w:t xml:space="preserve">, заявила директор департамента инвестиционных финансовых посредников Банка России Ольга </w:t>
      </w:r>
      <w:proofErr w:type="spellStart"/>
      <w:r w:rsidRPr="002F64E6">
        <w:t>Шишлянникова</w:t>
      </w:r>
      <w:proofErr w:type="spellEnd"/>
      <w:r w:rsidRPr="002F64E6">
        <w:t>.</w:t>
      </w:r>
      <w:bookmarkEnd w:id="51"/>
    </w:p>
    <w:p w14:paraId="0DC7EED3" w14:textId="17B9314B" w:rsidR="00CF3C1B" w:rsidRPr="002F64E6" w:rsidRDefault="00E77AB9" w:rsidP="00CF3C1B">
      <w:r>
        <w:t>«</w:t>
      </w:r>
      <w:r w:rsidR="00CF3C1B" w:rsidRPr="002F64E6">
        <w:t xml:space="preserve">Мы видим, что, к сожалению, инструмент, который мы рассчитывали будет пользоваться спросом у лиц среднего возраста и молодежи пользуется огромным спросом у лиц </w:t>
      </w:r>
      <w:proofErr w:type="spellStart"/>
      <w:r w:rsidR="00CF3C1B" w:rsidRPr="002F64E6">
        <w:t>предпенсионного</w:t>
      </w:r>
      <w:proofErr w:type="spellEnd"/>
      <w:r w:rsidR="00CF3C1B" w:rsidRPr="002F64E6">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r>
        <w:t>»</w:t>
      </w:r>
      <w:r w:rsidR="00CF3C1B" w:rsidRPr="002F64E6">
        <w:t>, - отметила она.</w:t>
      </w:r>
    </w:p>
    <w:p w14:paraId="4A21D9E3" w14:textId="74FF8D43" w:rsidR="00CF3C1B" w:rsidRPr="002F64E6" w:rsidRDefault="00CF3C1B" w:rsidP="00CF3C1B">
      <w:r w:rsidRPr="002F64E6">
        <w:t xml:space="preserve">По словам </w:t>
      </w:r>
      <w:proofErr w:type="spellStart"/>
      <w:r w:rsidRPr="002F64E6">
        <w:t>Шишлянниковой</w:t>
      </w:r>
      <w:proofErr w:type="spellEnd"/>
      <w:r w:rsidRPr="002F64E6">
        <w:t xml:space="preserve">, также драйвером роста хотелось бы видеть переориентацию этого инструмента на ту группу, на которую изначально рассчитывалось, то есть на молодежь и на лиц среднего возраста. </w:t>
      </w:r>
      <w:r w:rsidR="00E77AB9">
        <w:t>«</w:t>
      </w:r>
      <w:r w:rsidRPr="002F64E6">
        <w:t>И поправки, которые мы обсуждаем и с рынком, и с министерством финансов, с которыми обязательно придем к Анатолию Геннадиевичу [Аксакову, председатель комитета Госдумы по финансовому рынку], как раз они направлены на решение этих задач</w:t>
      </w:r>
      <w:r w:rsidR="00E77AB9">
        <w:t>»</w:t>
      </w:r>
      <w:r w:rsidRPr="002F64E6">
        <w:t>, - добавила она.</w:t>
      </w:r>
    </w:p>
    <w:p w14:paraId="0FB0AD03" w14:textId="4277C4A0" w:rsidR="00CF3C1B" w:rsidRPr="002F64E6" w:rsidRDefault="00CF3C1B" w:rsidP="00CF3C1B">
      <w:r w:rsidRPr="002F64E6">
        <w:t xml:space="preserve">Так, в разговоре с журналистами по итогам сессии </w:t>
      </w:r>
      <w:proofErr w:type="spellStart"/>
      <w:r w:rsidRPr="002F64E6">
        <w:t>Шишлянникова</w:t>
      </w:r>
      <w:proofErr w:type="spellEnd"/>
      <w:r w:rsidRPr="002F64E6">
        <w:t xml:space="preserve"> подчеркнула, что регулятор обсуждает не столько, чтобы увеличить для молодежи привлекательность, сколько добиться справедливости между разными возрастными категориями. </w:t>
      </w:r>
      <w:r w:rsidR="00E77AB9">
        <w:t>«</w:t>
      </w:r>
      <w:r w:rsidRPr="002F64E6">
        <w:t>Потому что сейчас молодежи для того, чтобы воспользоваться полным объемом преимуществ, надо от 10 до 15 лет пробыть в этом инструменте, а людям пенсионного и пенсионного возраста достаточно одного года</w:t>
      </w:r>
      <w:r w:rsidR="00E77AB9">
        <w:t>»</w:t>
      </w:r>
      <w:r w:rsidRPr="002F64E6">
        <w:t>, - подчеркнула она.</w:t>
      </w:r>
    </w:p>
    <w:p w14:paraId="07EA13E0" w14:textId="77777777" w:rsidR="00CF3C1B" w:rsidRPr="002F64E6" w:rsidRDefault="00CF3C1B" w:rsidP="00CF3C1B">
      <w:r w:rsidRPr="002F64E6">
        <w:t>Про ПДС</w:t>
      </w:r>
    </w:p>
    <w:p w14:paraId="3A092C4D" w14:textId="77777777" w:rsidR="00CF3C1B" w:rsidRPr="002F64E6" w:rsidRDefault="00CF3C1B" w:rsidP="00CF3C1B">
      <w:r w:rsidRPr="002F64E6">
        <w:t xml:space="preserve">Программа долгосрочных сбережений действует с 1 января 2024 года. По программе гражданин может заключить договор с негосударственным пенсионным фондом, </w:t>
      </w:r>
      <w:r w:rsidRPr="002F64E6">
        <w:lastRenderedPageBreak/>
        <w:t>перевести в него для дальнейшего инвестирования ранее сформированные пенсионные накопления либо перечислить отдельные взносы.</w:t>
      </w:r>
    </w:p>
    <w:p w14:paraId="0CF55B18" w14:textId="77777777" w:rsidR="00CF3C1B" w:rsidRPr="002F64E6" w:rsidRDefault="00CF3C1B" w:rsidP="00CF3C1B">
      <w:r w:rsidRPr="002F64E6">
        <w:t>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 Средства граждан, внесенные в рамках программы, застрахованы государством на сумму 2,8 млн рублей.</w:t>
      </w:r>
    </w:p>
    <w:p w14:paraId="3EB89E2A" w14:textId="39CD1FB5" w:rsidR="00CF3C1B" w:rsidRPr="002F64E6" w:rsidRDefault="000D71EB" w:rsidP="00CF3C1B">
      <w:hyperlink r:id="rId12" w:history="1">
        <w:r w:rsidR="00CF3C1B" w:rsidRPr="002F64E6">
          <w:rPr>
            <w:rStyle w:val="a3"/>
          </w:rPr>
          <w:t>https://tass.ru/ekonomika/26643021</w:t>
        </w:r>
      </w:hyperlink>
      <w:r w:rsidR="00CF3C1B" w:rsidRPr="002F64E6">
        <w:t xml:space="preserve"> </w:t>
      </w:r>
    </w:p>
    <w:p w14:paraId="3394293C" w14:textId="77777777" w:rsidR="00ED7F2E" w:rsidRPr="002F64E6" w:rsidRDefault="00ED7F2E" w:rsidP="00ED7F2E">
      <w:pPr>
        <w:pStyle w:val="2"/>
      </w:pPr>
      <w:bookmarkStart w:id="52" w:name="_Toc223591102"/>
      <w:r w:rsidRPr="002F64E6">
        <w:t>РБК Инвестиции, 04.03.2026, В ЦБ выразили недовольство слабым интересом молодежи к программе долгосрочных сбережений</w:t>
      </w:r>
      <w:bookmarkEnd w:id="52"/>
    </w:p>
    <w:p w14:paraId="55FEB97D" w14:textId="587D831C" w:rsidR="00ED7F2E" w:rsidRPr="002F64E6" w:rsidRDefault="00ED7F2E" w:rsidP="003F5B32">
      <w:pPr>
        <w:pStyle w:val="3"/>
      </w:pPr>
      <w:bookmarkStart w:id="53" w:name="_Toc223591103"/>
      <w:r w:rsidRPr="002F64E6">
        <w:t xml:space="preserve">Программа долгосрочных сбережений, стартовавшая в 2024 году, оказалась более популярна среди людей старшего возраста, что </w:t>
      </w:r>
      <w:r w:rsidR="00E77AB9">
        <w:t>«</w:t>
      </w:r>
      <w:r w:rsidRPr="002F64E6">
        <w:t>расстраивает</w:t>
      </w:r>
      <w:r w:rsidR="00E77AB9">
        <w:t>»</w:t>
      </w:r>
      <w:r w:rsidRPr="002F64E6">
        <w:t xml:space="preserve"> ЦБ. Регулятор хочет привлечь более молодую аудиторию и готовит для этого поправки.</w:t>
      </w:r>
      <w:bookmarkEnd w:id="53"/>
    </w:p>
    <w:p w14:paraId="281ED052" w14:textId="4BFD6CF9" w:rsidR="00ED7F2E" w:rsidRPr="002F64E6" w:rsidRDefault="00ED7F2E" w:rsidP="00ED7F2E">
      <w:r w:rsidRPr="002F64E6">
        <w:t xml:space="preserve">Программа долгосрочных сбережений (ПДС) больше популярна у людей старшего возраста, чем у россиян среднего возраста и молодежи. Это беспокоит Банк России, в связи с чем он готовит поправки, которые сделают этот инвестиционный инструмент привлекательным для более молодой аудитории. Об этом рассказала директор департамента инвестиционных финансовых посредников ЦБ Ольга </w:t>
      </w:r>
      <w:proofErr w:type="spellStart"/>
      <w:r w:rsidRPr="002F64E6">
        <w:t>Шишлянникова</w:t>
      </w:r>
      <w:proofErr w:type="spellEnd"/>
      <w:r w:rsidRPr="002F64E6">
        <w:t xml:space="preserve"> в кулуарах II ежегодного Форума лидеров рынка управления активами, организованного рейтинговым агентством </w:t>
      </w:r>
      <w:r w:rsidR="00E77AB9">
        <w:t>«</w:t>
      </w:r>
      <w:r w:rsidRPr="002F64E6">
        <w:t>Эксперт РА</w:t>
      </w:r>
      <w:r w:rsidR="00E77AB9">
        <w:t>»</w:t>
      </w:r>
      <w:r w:rsidRPr="002F64E6">
        <w:t xml:space="preserve">. </w:t>
      </w:r>
      <w:r w:rsidR="00E77AB9">
        <w:t>«</w:t>
      </w:r>
      <w:r w:rsidRPr="002F64E6">
        <w:t>РБК Инвестиции</w:t>
      </w:r>
      <w:r w:rsidR="00E77AB9">
        <w:t>»</w:t>
      </w:r>
      <w:r w:rsidRPr="002F64E6">
        <w:t xml:space="preserve"> следили за трансляцией.</w:t>
      </w:r>
    </w:p>
    <w:p w14:paraId="412AA072" w14:textId="3195D63D" w:rsidR="00ED7F2E" w:rsidRPr="002F64E6" w:rsidRDefault="00E77AB9" w:rsidP="00ED7F2E">
      <w:r>
        <w:t>«</w:t>
      </w:r>
      <w:r w:rsidR="00ED7F2E" w:rsidRPr="002F64E6">
        <w:t xml:space="preserve">Что нас расстраивает в этом инструменте? Это состав участников — мы видим, что инструмент, который мы рассчитывали, что будет пользоваться спросом у лиц среднего возраста и молодежи, к сожалению, пользуется огромным спросом у лиц </w:t>
      </w:r>
      <w:proofErr w:type="spellStart"/>
      <w:r w:rsidR="00ED7F2E" w:rsidRPr="002F64E6">
        <w:t>предпенсионного</w:t>
      </w:r>
      <w:proofErr w:type="spellEnd"/>
      <w:r w:rsidR="00ED7F2E" w:rsidRPr="002F64E6">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r>
        <w:t>»</w:t>
      </w:r>
      <w:r w:rsidR="00ED7F2E" w:rsidRPr="002F64E6">
        <w:t>, — сказала она.</w:t>
      </w:r>
    </w:p>
    <w:p w14:paraId="1B5A1A45" w14:textId="2F467CB1" w:rsidR="00ED7F2E" w:rsidRPr="002F64E6" w:rsidRDefault="00ED7F2E" w:rsidP="00ED7F2E">
      <w:r w:rsidRPr="002F64E6">
        <w:t xml:space="preserve">По словам </w:t>
      </w:r>
      <w:proofErr w:type="spellStart"/>
      <w:r w:rsidRPr="002F64E6">
        <w:t>Шишлянниковой</w:t>
      </w:r>
      <w:proofErr w:type="spellEnd"/>
      <w:r w:rsidRPr="002F64E6">
        <w:t xml:space="preserve">, ЦБ хотел бы видеть драйвером роста для этого инструмента его </w:t>
      </w:r>
      <w:r w:rsidR="00E77AB9">
        <w:t>«</w:t>
      </w:r>
      <w:r w:rsidRPr="002F64E6">
        <w:t>переориентацию на ту группу, на которую мы изначально рассчитывали, то есть на молодежь и на лиц среднего возраста</w:t>
      </w:r>
      <w:r w:rsidR="00E77AB9">
        <w:t>»</w:t>
      </w:r>
      <w:r w:rsidRPr="002F64E6">
        <w:t>. Регулятор, по ее словам, готовит поправки в законодательство, направленные на решение этих задач.</w:t>
      </w:r>
    </w:p>
    <w:p w14:paraId="6AAE8F46" w14:textId="3EDD8D5B" w:rsidR="00ED7F2E" w:rsidRPr="002F64E6" w:rsidRDefault="00E77AB9" w:rsidP="00ED7F2E">
      <w:r>
        <w:t>«</w:t>
      </w:r>
      <w:r w:rsidR="00ED7F2E" w:rsidRPr="002F64E6">
        <w:t>По ПДС будут правки именно для смещения интереса в сторону более молодого населения</w:t>
      </w:r>
      <w:r>
        <w:t>»</w:t>
      </w:r>
      <w:r w:rsidR="00ED7F2E" w:rsidRPr="002F64E6">
        <w:t>, — резюмировала глава департамента ЦБ.</w:t>
      </w:r>
    </w:p>
    <w:p w14:paraId="45BB51D6" w14:textId="77777777" w:rsidR="00ED7F2E" w:rsidRPr="002F64E6" w:rsidRDefault="00ED7F2E" w:rsidP="00ED7F2E">
      <w:r w:rsidRPr="002F64E6">
        <w:t xml:space="preserve">Программа долгосрочных сбережений (ПДС) — это добровольный </w:t>
      </w:r>
      <w:proofErr w:type="spellStart"/>
      <w:r w:rsidRPr="002F64E6">
        <w:t>накопительно</w:t>
      </w:r>
      <w:proofErr w:type="spellEnd"/>
      <w:r w:rsidRPr="002F64E6">
        <w:t>-сберегательный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 д.</w:t>
      </w:r>
    </w:p>
    <w:p w14:paraId="3E3F5DAD" w14:textId="77777777" w:rsidR="00ED7F2E" w:rsidRPr="002F64E6" w:rsidRDefault="00ED7F2E" w:rsidP="00ED7F2E">
      <w:r w:rsidRPr="002F64E6">
        <w:t xml:space="preserve">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w:t>
      </w:r>
      <w:r w:rsidRPr="002F64E6">
        <w:lastRenderedPageBreak/>
        <w:t xml:space="preserve">часть пенсии (ОПС). Государство в течение десяти лет будет </w:t>
      </w:r>
      <w:proofErr w:type="spellStart"/>
      <w:r w:rsidRPr="002F64E6">
        <w:t>софинансировать</w:t>
      </w:r>
      <w:proofErr w:type="spellEnd"/>
      <w:r w:rsidRPr="002F64E6">
        <w:t xml:space="preserve"> взносы участника программы в определенной пропорции — до ₽36 тыс. в год максимум.</w:t>
      </w:r>
    </w:p>
    <w:p w14:paraId="1FF99502" w14:textId="6E0F6262" w:rsidR="00ED7F2E" w:rsidRPr="002F64E6" w:rsidRDefault="00ED7F2E" w:rsidP="00ED7F2E">
      <w:r w:rsidRPr="002F64E6">
        <w:t xml:space="preserve">По результатам опроса </w:t>
      </w:r>
      <w:r w:rsidR="00E77AB9">
        <w:t>«</w:t>
      </w:r>
      <w:r w:rsidRPr="002F64E6">
        <w:t>РБК Инвестиций</w:t>
      </w:r>
      <w:r w:rsidR="00E77AB9">
        <w:t>»</w:t>
      </w:r>
      <w:r w:rsidRPr="002F64E6">
        <w:t>, за 2025 год доходность портфелей ПДС, перечисленная на счета клиентов, составила в среднем около 19%.</w:t>
      </w:r>
    </w:p>
    <w:p w14:paraId="44D63B6D" w14:textId="77777777" w:rsidR="00ED7F2E" w:rsidRPr="002F64E6" w:rsidRDefault="00ED7F2E" w:rsidP="00ED7F2E">
      <w:r w:rsidRPr="002F64E6">
        <w:t xml:space="preserve">Представитель ЦБ также добавила, что за прошлый год число клиентов ПДС выросло более чем на 6 млн человек и составило 9 млн. По состоянию на начало марта, это число уже превышает 10 млн. Кроме того, по итогам 2025 года в рамках этой программы было привлечено ₽717 млрд, а сейчас, эта цифра приближается к ₽800 млрд, уточнила </w:t>
      </w:r>
      <w:proofErr w:type="spellStart"/>
      <w:r w:rsidRPr="002F64E6">
        <w:t>Шишлянникова</w:t>
      </w:r>
      <w:proofErr w:type="spellEnd"/>
      <w:r w:rsidRPr="002F64E6">
        <w:t>.</w:t>
      </w:r>
    </w:p>
    <w:p w14:paraId="69B2AC4C" w14:textId="77777777" w:rsidR="00ED7F2E" w:rsidRPr="002F64E6" w:rsidRDefault="00ED7F2E" w:rsidP="00ED7F2E">
      <w:r w:rsidRPr="002F64E6">
        <w:t>Примечательно, что женщины чуть чаще думают о долгосрочных сбережениях, чем мужчины, добавила глава департамента ЦБ. При этом у первых средств на счетах ПДС меньше, поэтому средний счет у мужчин больше, чем у женщин.</w:t>
      </w:r>
    </w:p>
    <w:p w14:paraId="0688C870" w14:textId="498E3AB9" w:rsidR="00ED7F2E" w:rsidRPr="002F64E6" w:rsidRDefault="00ED7F2E" w:rsidP="00ED7F2E">
      <w:r w:rsidRPr="002F64E6">
        <w:t xml:space="preserve">По данным </w:t>
      </w:r>
      <w:r w:rsidR="00E77AB9">
        <w:t>«</w:t>
      </w:r>
      <w:proofErr w:type="spellStart"/>
      <w:r w:rsidRPr="002F64E6">
        <w:t>СберНПФ</w:t>
      </w:r>
      <w:proofErr w:type="spellEnd"/>
      <w:r w:rsidR="00E77AB9">
        <w:t>»</w:t>
      </w:r>
      <w:r w:rsidRPr="002F64E6">
        <w:t xml:space="preserve">, в 2025 году женщины-клиентки этого фонда вложили в ПДС ₽164 млрд, из них ₽114 млрд личных взносов и ₽50 млрд рублей переводом накопительной пенсии. От общего числа договоров, заключенных в 2025 году, на женщин пришлось 70%, на мужчин — 30%. При этом россиянки вдвое чаще переводят в программу средства накопительной пенсии. Средний взнос женщин в программу долгосрочных сбережений в </w:t>
      </w:r>
      <w:r w:rsidR="00E77AB9">
        <w:t>«</w:t>
      </w:r>
      <w:proofErr w:type="spellStart"/>
      <w:r w:rsidRPr="002F64E6">
        <w:t>СберНПФ</w:t>
      </w:r>
      <w:proofErr w:type="spellEnd"/>
      <w:r w:rsidR="00E77AB9">
        <w:t>»</w:t>
      </w:r>
      <w:r w:rsidRPr="002F64E6">
        <w:t xml:space="preserve"> составил в 2025 году ₽6 тыс.</w:t>
      </w:r>
    </w:p>
    <w:p w14:paraId="487E2895" w14:textId="0CC19EE7" w:rsidR="00ED7F2E" w:rsidRPr="002F64E6" w:rsidRDefault="00ED7F2E" w:rsidP="00ED7F2E">
      <w:r w:rsidRPr="002F64E6">
        <w:t xml:space="preserve">Ранее в Минфине говорили, что обеспокоены действиями ряда участников программы долгосрочных сбережений. По итогам девяти месяцев 2025 года участники ПДС вывели ₽20,31 млрд, из них 17,95 млрд в третьем квартале, когда произошло зачисление на счета </w:t>
      </w:r>
      <w:proofErr w:type="spellStart"/>
      <w:r w:rsidRPr="002F64E6">
        <w:t>софинансирование</w:t>
      </w:r>
      <w:proofErr w:type="spellEnd"/>
      <w:r w:rsidRPr="002F64E6">
        <w:t xml:space="preserve"> от государства. В ведомстве также не исключают возможности точечного изменения правил программы, чтобы остановить практику </w:t>
      </w:r>
      <w:r w:rsidR="00E77AB9">
        <w:t>«</w:t>
      </w:r>
      <w:r w:rsidRPr="002F64E6">
        <w:t>быстрых денег</w:t>
      </w:r>
      <w:r w:rsidR="00E77AB9">
        <w:t>»</w:t>
      </w:r>
      <w:r w:rsidRPr="002F64E6">
        <w:t xml:space="preserve"> и вернуть ей первоначальный смысл (долгосрочное инвестирование).</w:t>
      </w:r>
    </w:p>
    <w:p w14:paraId="2AE7C94D" w14:textId="77777777" w:rsidR="00ED7F2E" w:rsidRPr="002F64E6" w:rsidRDefault="00ED7F2E" w:rsidP="00ED7F2E">
      <w:r w:rsidRPr="002F64E6">
        <w:t xml:space="preserve">Минимальный срок участия в программе ПДС — 15 лет. До истечения этого срока участники программы 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 Закрытие ПДС без уважительной причины ведет к потере права на </w:t>
      </w:r>
      <w:proofErr w:type="spellStart"/>
      <w:r w:rsidRPr="002F64E6">
        <w:t>софинансирование</w:t>
      </w:r>
      <w:proofErr w:type="spellEnd"/>
      <w:r w:rsidRPr="002F64E6">
        <w:t xml:space="preserve"> по всем счетам (и другим текущим, отличным от закрываемого, и даже будущим) и требованиям со стороны ФНС вернуть налоговые вычеты, если те были получены по закрываемому счету.</w:t>
      </w:r>
    </w:p>
    <w:p w14:paraId="19225B67" w14:textId="77777777" w:rsidR="00ED7F2E" w:rsidRPr="002F64E6" w:rsidRDefault="00ED7F2E" w:rsidP="00ED7F2E">
      <w:r w:rsidRPr="002F64E6">
        <w:t>Для большинства участников закрыть ПДС, забрать часть накоплений или всю сумму целиком досрочно без потери процентного дохода сейчас можно лишь в двух случаях, связанных с наступлением особых жизненных обстоятельств: по причине болезни и необходимости оплачивать сложное лечение (список видов лечения определяет правительство), а также при потере кормильца.</w:t>
      </w:r>
    </w:p>
    <w:p w14:paraId="56193C62" w14:textId="68064AF7" w:rsidR="00ED7F2E" w:rsidRPr="002F64E6" w:rsidRDefault="00ED7F2E" w:rsidP="00ED7F2E">
      <w:r w:rsidRPr="002F64E6">
        <w:t xml:space="preserve">НПФ, раскрывшие данные </w:t>
      </w:r>
      <w:r w:rsidR="00E77AB9">
        <w:t>«</w:t>
      </w:r>
      <w:r w:rsidRPr="002F64E6">
        <w:t>РБК Инвестициям</w:t>
      </w:r>
      <w:r w:rsidR="00E77AB9">
        <w:t>»</w:t>
      </w:r>
      <w:r w:rsidRPr="002F64E6">
        <w:t>, ожидают по итогам года доходность средств программы долгосрочных сбережений на уровне 17-20%.</w:t>
      </w:r>
    </w:p>
    <w:p w14:paraId="72FE6511" w14:textId="08D181E7" w:rsidR="00ED7F2E" w:rsidRPr="002F64E6" w:rsidRDefault="000D71EB" w:rsidP="00ED7F2E">
      <w:hyperlink r:id="rId13" w:history="1">
        <w:r w:rsidR="00ED7F2E" w:rsidRPr="002F64E6">
          <w:rPr>
            <w:rStyle w:val="a3"/>
          </w:rPr>
          <w:t>https://www.rbc.ru/quote/news/article/69a7e7189a7947a93ad75c31</w:t>
        </w:r>
      </w:hyperlink>
      <w:r w:rsidR="00ED7F2E" w:rsidRPr="002F64E6">
        <w:t xml:space="preserve"> </w:t>
      </w:r>
    </w:p>
    <w:p w14:paraId="5E76B952" w14:textId="77777777" w:rsidR="009123BD" w:rsidRPr="002F64E6" w:rsidRDefault="009123BD" w:rsidP="009123BD">
      <w:pPr>
        <w:pStyle w:val="2"/>
      </w:pPr>
      <w:bookmarkStart w:id="54" w:name="ф8"/>
      <w:bookmarkStart w:id="55" w:name="_Toc223591104"/>
      <w:bookmarkEnd w:id="54"/>
      <w:r w:rsidRPr="002F64E6">
        <w:lastRenderedPageBreak/>
        <w:t xml:space="preserve">РБК Инвестиции, 04.03.2026, ЦБ поддержал инициативу Минфина по увеличению срока вывода средств с ПДС: это коснется пенсионеров и </w:t>
      </w:r>
      <w:proofErr w:type="spellStart"/>
      <w:r w:rsidRPr="002F64E6">
        <w:t>предпенсионеров</w:t>
      </w:r>
      <w:bookmarkEnd w:id="55"/>
      <w:proofErr w:type="spellEnd"/>
    </w:p>
    <w:p w14:paraId="0BB0739B" w14:textId="69F30E81" w:rsidR="009123BD" w:rsidRPr="002F64E6" w:rsidRDefault="009123BD" w:rsidP="003F5B32">
      <w:pPr>
        <w:pStyle w:val="3"/>
      </w:pPr>
      <w:bookmarkStart w:id="56" w:name="_Toc223591105"/>
      <w:r w:rsidRPr="002F64E6">
        <w:t xml:space="preserve">Ранее в Минфине отмечали, что намерены увеличить срок снятия средств </w:t>
      </w:r>
      <w:proofErr w:type="spellStart"/>
      <w:r w:rsidRPr="002F64E6">
        <w:t>софинансирования</w:t>
      </w:r>
      <w:proofErr w:type="spellEnd"/>
      <w:r w:rsidRPr="002F64E6">
        <w:t xml:space="preserve"> ПДС до 5 лет, чтобы остановить практику </w:t>
      </w:r>
      <w:r w:rsidR="00E77AB9">
        <w:t>«</w:t>
      </w:r>
      <w:r w:rsidRPr="002F64E6">
        <w:t>быстрых денег</w:t>
      </w:r>
      <w:r w:rsidR="00E77AB9">
        <w:t>»</w:t>
      </w:r>
      <w:r w:rsidRPr="002F64E6">
        <w:t xml:space="preserve"> и вернуть ей первоначальный смысл — долгосрочное инвестирование</w:t>
      </w:r>
      <w:bookmarkEnd w:id="56"/>
    </w:p>
    <w:p w14:paraId="0B4FBB9B" w14:textId="37C8CF40" w:rsidR="009123BD" w:rsidRPr="002F64E6" w:rsidRDefault="009123BD" w:rsidP="009123BD">
      <w:r w:rsidRPr="002F64E6">
        <w:t xml:space="preserve">Банк России поддержал инициативу Минфина по увеличению срока вывода средств с ПДС. Об этом журналистам сообщила директор департамента инвестиционных финансовых посредников Банка России Ольга </w:t>
      </w:r>
      <w:proofErr w:type="spellStart"/>
      <w:r w:rsidRPr="002F64E6">
        <w:t>Шишлянникова</w:t>
      </w:r>
      <w:proofErr w:type="spellEnd"/>
      <w:r w:rsidRPr="002F64E6">
        <w:t xml:space="preserve"> в кулуарах второго ежегодного Форума лидеров рынка управления активами, организованного рейтинговым агентством </w:t>
      </w:r>
      <w:r w:rsidR="00E77AB9">
        <w:t>«</w:t>
      </w:r>
      <w:r w:rsidRPr="002F64E6">
        <w:t>Эксперт РА</w:t>
      </w:r>
      <w:r w:rsidR="00E77AB9">
        <w:t>»</w:t>
      </w:r>
      <w:r w:rsidRPr="002F64E6">
        <w:t xml:space="preserve">. Ее слова передает корреспондент </w:t>
      </w:r>
      <w:r w:rsidR="00E77AB9">
        <w:t>«</w:t>
      </w:r>
      <w:r w:rsidRPr="002F64E6">
        <w:t>РБК Инвестиций</w:t>
      </w:r>
      <w:r w:rsidR="00E77AB9">
        <w:t>»</w:t>
      </w:r>
      <w:r w:rsidRPr="002F64E6">
        <w:t>.</w:t>
      </w:r>
    </w:p>
    <w:p w14:paraId="0CDCE8ED" w14:textId="6C1ED08B" w:rsidR="009123BD" w:rsidRPr="002F64E6" w:rsidRDefault="00E77AB9" w:rsidP="009123BD">
      <w:r>
        <w:t>«</w:t>
      </w:r>
      <w:r w:rsidR="009123BD" w:rsidRPr="002F64E6">
        <w:t>Мы поддерживаем эту историю, потому что иначе те льготы, которые предусмотрены, работают неэффективно. Государство готово было дотировать это [ПДС] с учетом того, что деньги будут длинные</w:t>
      </w:r>
      <w:r>
        <w:t>»</w:t>
      </w:r>
      <w:r w:rsidR="009123BD" w:rsidRPr="002F64E6">
        <w:t>, — сказала она.</w:t>
      </w:r>
    </w:p>
    <w:p w14:paraId="11E087BE" w14:textId="386B71CA" w:rsidR="009123BD" w:rsidRPr="002F64E6" w:rsidRDefault="009123BD" w:rsidP="009123BD">
      <w:r w:rsidRPr="002F64E6">
        <w:t xml:space="preserve">Ранее замминистра финансов Иван </w:t>
      </w:r>
      <w:proofErr w:type="spellStart"/>
      <w:r w:rsidRPr="002F64E6">
        <w:t>Чебесков</w:t>
      </w:r>
      <w:proofErr w:type="spellEnd"/>
      <w:r w:rsidRPr="002F64E6">
        <w:t xml:space="preserve"> говорил о том, что Минфин намерен увеличить срок снятия средств </w:t>
      </w:r>
      <w:proofErr w:type="spellStart"/>
      <w:r w:rsidRPr="002F64E6">
        <w:t>софинансирования</w:t>
      </w:r>
      <w:proofErr w:type="spellEnd"/>
      <w:r w:rsidRPr="002F64E6">
        <w:t xml:space="preserve"> ПДС до пяти лет, чтобы остановить практику </w:t>
      </w:r>
      <w:r w:rsidR="00E77AB9">
        <w:t>«</w:t>
      </w:r>
      <w:r w:rsidRPr="002F64E6">
        <w:t>быстрых денег</w:t>
      </w:r>
      <w:r w:rsidR="00E77AB9">
        <w:t>»</w:t>
      </w:r>
      <w:r w:rsidRPr="002F64E6">
        <w:t xml:space="preserve"> и вернуть ей первоначальный смысл (долгосрочное инвестирование).</w:t>
      </w:r>
    </w:p>
    <w:p w14:paraId="6DC44DFA" w14:textId="77777777" w:rsidR="009123BD" w:rsidRPr="002F64E6" w:rsidRDefault="009123BD" w:rsidP="009123BD">
      <w:r w:rsidRPr="002F64E6">
        <w:t xml:space="preserve">В ходе сессии </w:t>
      </w:r>
      <w:proofErr w:type="spellStart"/>
      <w:r w:rsidRPr="002F64E6">
        <w:t>Шишлянникова</w:t>
      </w:r>
      <w:proofErr w:type="spellEnd"/>
      <w:r w:rsidRPr="002F64E6">
        <w:t xml:space="preserve"> говорила о том, что слабый интерес молодежи к программе долгосрочных сбережений (ПДС) расстраивает ЦБ и регулятор готовит поправки для привлечения более молодой аудитории. Однако уже после сессии она уточнила, что обсуждается не столько вопрос увеличения популярности инструмента среди молодежи, сколько вопрос справедливости налоговых льгот для разных возрастных категорий.</w:t>
      </w:r>
    </w:p>
    <w:p w14:paraId="1EF05460" w14:textId="7C359226" w:rsidR="009123BD" w:rsidRPr="002F64E6" w:rsidRDefault="00E77AB9" w:rsidP="009123BD">
      <w:r>
        <w:t>«</w:t>
      </w:r>
      <w:r w:rsidR="009123BD" w:rsidRPr="002F64E6">
        <w:t xml:space="preserve">Сейчас молодежи для того, чтобы воспользоваться в полном объеме преимуществами ПДС надо от 10 до 15 лет пробыть в этом инструменте, а людям </w:t>
      </w:r>
      <w:proofErr w:type="spellStart"/>
      <w:r w:rsidR="009123BD" w:rsidRPr="002F64E6">
        <w:t>предпенсионного</w:t>
      </w:r>
      <w:proofErr w:type="spellEnd"/>
      <w:r w:rsidR="009123BD" w:rsidRPr="002F64E6">
        <w:t xml:space="preserve"> и пенсионного возраста достаточно одного года</w:t>
      </w:r>
      <w:r>
        <w:t>»</w:t>
      </w:r>
      <w:r w:rsidR="009123BD" w:rsidRPr="002F64E6">
        <w:t>, — отметила она.</w:t>
      </w:r>
    </w:p>
    <w:p w14:paraId="04E1B7BA" w14:textId="77777777" w:rsidR="009123BD" w:rsidRPr="002F64E6" w:rsidRDefault="009123BD" w:rsidP="009123BD">
      <w:r w:rsidRPr="002F64E6">
        <w:t xml:space="preserve">Ранее в Минфине говорили, что обеспокоены действиями ряда участников программы долгосрочных сбережений. В ведомстве полагают, что средства из ПДС вывели и обналичили, закрыв счет, имеющие на это право пенсионеры и </w:t>
      </w:r>
      <w:proofErr w:type="spellStart"/>
      <w:r w:rsidRPr="002F64E6">
        <w:t>предпенсионеры</w:t>
      </w:r>
      <w:proofErr w:type="spellEnd"/>
      <w:r w:rsidRPr="002F64E6">
        <w:t xml:space="preserve">, для которых изначально были предусмотрены более гибкие условия. По итогам девяти месяцев 2025 года участники ПДС вывели ₽20,31 млрд, из них ₽17,95 млрд в третьем квартале, когда произошло зачисление на счета </w:t>
      </w:r>
      <w:proofErr w:type="spellStart"/>
      <w:r w:rsidRPr="002F64E6">
        <w:t>софинансирования</w:t>
      </w:r>
      <w:proofErr w:type="spellEnd"/>
      <w:r w:rsidRPr="002F64E6">
        <w:t xml:space="preserve"> от государства. Фактически эта категория клиентов использовала ПДС в качестве срочного годового вклада с доходностью свыше 100% — при максимальном взносе ₽36 тыс. государство добавило еще ₽36 тыс., а НПФ начислил инвестиционную доходность.</w:t>
      </w:r>
    </w:p>
    <w:p w14:paraId="62520DAB" w14:textId="77777777" w:rsidR="009123BD" w:rsidRPr="002F64E6" w:rsidRDefault="009123BD" w:rsidP="009123BD">
      <w:r w:rsidRPr="002F64E6">
        <w:t xml:space="preserve">Программа долгосрочных сбережений (ПДС) — это добровольный </w:t>
      </w:r>
      <w:proofErr w:type="spellStart"/>
      <w:r w:rsidRPr="002F64E6">
        <w:t>накопительно</w:t>
      </w:r>
      <w:proofErr w:type="spellEnd"/>
      <w:r w:rsidRPr="002F64E6">
        <w:t>-сберегательный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00E354AF" w14:textId="77777777" w:rsidR="009123BD" w:rsidRPr="002F64E6" w:rsidRDefault="009123BD" w:rsidP="009123BD">
      <w:r w:rsidRPr="002F64E6">
        <w:lastRenderedPageBreak/>
        <w:t xml:space="preserve">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w:t>
      </w:r>
      <w:proofErr w:type="spellStart"/>
      <w:r w:rsidRPr="002F64E6">
        <w:t>софинансировать</w:t>
      </w:r>
      <w:proofErr w:type="spellEnd"/>
      <w:r w:rsidRPr="002F64E6">
        <w:t xml:space="preserve"> взносы участника программы в определенной пропорции — до ₽36 тыс. в год максимум.</w:t>
      </w:r>
    </w:p>
    <w:p w14:paraId="2C345ED8" w14:textId="3210E65C" w:rsidR="009123BD" w:rsidRPr="002F64E6" w:rsidRDefault="009123BD" w:rsidP="009123BD">
      <w:r w:rsidRPr="002F64E6">
        <w:t xml:space="preserve">По результатам опроса </w:t>
      </w:r>
      <w:r w:rsidR="00E77AB9">
        <w:t>«</w:t>
      </w:r>
      <w:r w:rsidRPr="002F64E6">
        <w:t>РБК Инвестиций</w:t>
      </w:r>
      <w:r w:rsidR="00E77AB9">
        <w:t>»</w:t>
      </w:r>
      <w:r w:rsidRPr="002F64E6">
        <w:t>, за 2025 год доходность портфелей ПДС, перечисленная на счета клиентов, составила в среднем около 19%.</w:t>
      </w:r>
    </w:p>
    <w:p w14:paraId="702750D2" w14:textId="77777777" w:rsidR="009123BD" w:rsidRPr="002F64E6" w:rsidRDefault="009123BD" w:rsidP="009123BD">
      <w:r w:rsidRPr="002F64E6">
        <w:t>По данным ЦБ, за прошлый год число клиентов ПДС выросло более чем на 6 млн человек и составило 9 млн. По состоянию на начало марта это число уже превышает 10 млн. Кроме того, по итогам 2025 года в рамках этой программы было привлечено ₽717 млрд, а сейчас эта цифра приближается к ₽800 млрд.</w:t>
      </w:r>
    </w:p>
    <w:p w14:paraId="2F547127" w14:textId="77777777" w:rsidR="009123BD" w:rsidRPr="002F64E6" w:rsidRDefault="009123BD" w:rsidP="009123BD">
      <w:r w:rsidRPr="002F64E6">
        <w:t>Минимальный срок участия в программе ПДС — 15 лет. Помимо истечения этого срока с даты заключения договора, средства по ПДС можно получить при достижении возраста 55 лет для женщин и 60 лет для мужчин, а также в случае возникновения особой жизненной ситуации, к которой относится оплата дорогостоящего лечения или потеря кормильца участника ПДС.</w:t>
      </w:r>
    </w:p>
    <w:p w14:paraId="5585B3C4" w14:textId="77777777" w:rsidR="009123BD" w:rsidRPr="002F64E6" w:rsidRDefault="009123BD" w:rsidP="009123BD">
      <w:r w:rsidRPr="002F64E6">
        <w:t xml:space="preserve">В то же время закрытие ПДС без уважительной причины ведет к потере права на </w:t>
      </w:r>
      <w:proofErr w:type="spellStart"/>
      <w:r w:rsidRPr="002F64E6">
        <w:t>софинансирование</w:t>
      </w:r>
      <w:proofErr w:type="spellEnd"/>
      <w:r w:rsidRPr="002F64E6">
        <w:t xml:space="preserve"> по всем счетам (и другим текущим, отличным от закрываемого, и даже будущим) и требованиям со стороны ФНС вернуть налоговые вычеты, если те были получены по закрываемому счету.</w:t>
      </w:r>
    </w:p>
    <w:p w14:paraId="0CB92A75" w14:textId="05812CEC" w:rsidR="009123BD" w:rsidRPr="002F64E6" w:rsidRDefault="000D71EB" w:rsidP="009123BD">
      <w:hyperlink r:id="rId14" w:history="1">
        <w:r w:rsidR="009123BD" w:rsidRPr="002F64E6">
          <w:rPr>
            <w:rStyle w:val="a3"/>
          </w:rPr>
          <w:t>https://www.rbc.ru/quote/news/article/69a800769a79475292d67479</w:t>
        </w:r>
      </w:hyperlink>
      <w:r w:rsidR="009123BD" w:rsidRPr="002F64E6">
        <w:t xml:space="preserve"> </w:t>
      </w:r>
    </w:p>
    <w:p w14:paraId="5DC92723" w14:textId="77777777" w:rsidR="008246DD" w:rsidRPr="002F64E6" w:rsidRDefault="008246DD" w:rsidP="008246DD">
      <w:pPr>
        <w:pStyle w:val="2"/>
      </w:pPr>
      <w:bookmarkStart w:id="57" w:name="ф5"/>
      <w:bookmarkStart w:id="58" w:name="_Toc223591106"/>
      <w:bookmarkEnd w:id="57"/>
      <w:r w:rsidRPr="002F64E6">
        <w:t>РБК Инвестиции, 04.03.2026, НПФ рассказали, как улучшить программу долгосрочных сбережений россиян</w:t>
      </w:r>
      <w:bookmarkEnd w:id="58"/>
    </w:p>
    <w:p w14:paraId="08EF4030" w14:textId="77777777" w:rsidR="008246DD" w:rsidRPr="002F64E6" w:rsidRDefault="008246DD" w:rsidP="003F5B32">
      <w:pPr>
        <w:pStyle w:val="3"/>
      </w:pPr>
      <w:bookmarkStart w:id="59" w:name="_Toc223591107"/>
      <w:r w:rsidRPr="002F64E6">
        <w:t xml:space="preserve">Программа долгосрочных сбережений стартовала с начала 2024 года. Однако существующие условия и параметры программы требуют </w:t>
      </w:r>
      <w:proofErr w:type="spellStart"/>
      <w:r w:rsidRPr="002F64E6">
        <w:t>донастройки</w:t>
      </w:r>
      <w:proofErr w:type="spellEnd"/>
      <w:r w:rsidRPr="002F64E6">
        <w:t>, считают участники пенсионного рынка.</w:t>
      </w:r>
      <w:bookmarkEnd w:id="59"/>
    </w:p>
    <w:p w14:paraId="5D7E1613" w14:textId="387821EA" w:rsidR="008246DD" w:rsidRPr="002F64E6" w:rsidRDefault="008246DD" w:rsidP="008246DD">
      <w:r w:rsidRPr="002F64E6">
        <w:t xml:space="preserve">Негосударственные пенсионные фонды второй год подряд оценивают состояние пенсионного рынка позитивно и отмечают, что для эффективного развития нужны долгосрочная стратегия развития и регуляторные изменения. К такому выводу пришли НПФ, опрошенные агентством </w:t>
      </w:r>
      <w:r w:rsidR="00E77AB9">
        <w:t>«</w:t>
      </w:r>
      <w:r w:rsidRPr="002F64E6">
        <w:t>Эксперт РА</w:t>
      </w:r>
      <w:r w:rsidR="00E77AB9">
        <w:t>»</w:t>
      </w:r>
      <w:r w:rsidRPr="002F64E6">
        <w:t xml:space="preserve">. </w:t>
      </w:r>
      <w:r w:rsidR="00E77AB9">
        <w:t>«</w:t>
      </w:r>
      <w:r w:rsidRPr="002F64E6">
        <w:t>РБК Инвестиции</w:t>
      </w:r>
      <w:r w:rsidR="00E77AB9">
        <w:t>»</w:t>
      </w:r>
      <w:r w:rsidRPr="002F64E6">
        <w:t xml:space="preserve"> ознакомились с результатами исследования.</w:t>
      </w:r>
    </w:p>
    <w:p w14:paraId="4921D049" w14:textId="38E8A504" w:rsidR="008246DD" w:rsidRPr="002F64E6" w:rsidRDefault="008246DD" w:rsidP="008246DD">
      <w:r w:rsidRPr="002F64E6">
        <w:t xml:space="preserve">Рейтинговое агентство </w:t>
      </w:r>
      <w:r w:rsidR="00E77AB9">
        <w:t>«</w:t>
      </w:r>
      <w:r w:rsidRPr="002F64E6">
        <w:t>Эксперт РА</w:t>
      </w:r>
      <w:r w:rsidR="00E77AB9">
        <w:t>»</w:t>
      </w:r>
      <w:r w:rsidRPr="002F64E6">
        <w:t xml:space="preserve"> в январе—феврале 2026 года провело опрос негосударственных пенсионных фондов относительно различных аспектов функционирования рынка. Совокупная рыночная доля НПФ, принявших участие в опросе, составила 81% за девять месяцев 2025 года.</w:t>
      </w:r>
    </w:p>
    <w:p w14:paraId="31406440" w14:textId="77777777" w:rsidR="008246DD" w:rsidRPr="002F64E6" w:rsidRDefault="008246DD" w:rsidP="008246DD">
      <w:r w:rsidRPr="002F64E6">
        <w:t>В целом НПФ смотрят на состояние рынка позитивно — их доля составила 18%, и умеренно позитивно — 82%. Авторы опроса отмечают, что в феврале 2025 года все НПФ также оценили состояние пенсионного рынка как позитивное, однако число фондов, поставивших максимально высокие баллы (4 и 5), было выше — 33 против 18% в 2026 году.</w:t>
      </w:r>
    </w:p>
    <w:p w14:paraId="0E52BC07" w14:textId="6F2017E3" w:rsidR="008246DD" w:rsidRPr="002F64E6" w:rsidRDefault="00E77AB9" w:rsidP="008246DD">
      <w:r>
        <w:t>«</w:t>
      </w:r>
      <w:r w:rsidR="008246DD" w:rsidRPr="002F64E6">
        <w:t xml:space="preserve">Результаты опросов подчеркивают, что у отрасли еще есть потенциал для улучшений и, несмотря на импульс развития в виде запуска ПДС, необходимы структурные </w:t>
      </w:r>
      <w:r w:rsidR="008246DD" w:rsidRPr="002F64E6">
        <w:lastRenderedPageBreak/>
        <w:t>преобразования пенсионной системы и решение ряда регуляторных вопросов</w:t>
      </w:r>
      <w:r>
        <w:t>»</w:t>
      </w:r>
      <w:r w:rsidR="008246DD" w:rsidRPr="002F64E6">
        <w:t xml:space="preserve">, — сказали в рейтинговом агентстве </w:t>
      </w:r>
      <w:r>
        <w:t>«</w:t>
      </w:r>
      <w:r w:rsidR="008246DD" w:rsidRPr="002F64E6">
        <w:t>Эксперт РА</w:t>
      </w:r>
      <w:r>
        <w:t>»</w:t>
      </w:r>
      <w:r w:rsidR="008246DD" w:rsidRPr="002F64E6">
        <w:t>.</w:t>
      </w:r>
    </w:p>
    <w:p w14:paraId="170404AE" w14:textId="77777777" w:rsidR="008246DD" w:rsidRPr="002F64E6" w:rsidRDefault="008246DD" w:rsidP="008246DD">
      <w:r w:rsidRPr="002F64E6">
        <w:t xml:space="preserve">Главными достижениями отрасли в 2025 году НПФ считают </w:t>
      </w:r>
      <w:proofErr w:type="spellStart"/>
      <w:r w:rsidRPr="002F64E6">
        <w:t>донастройки</w:t>
      </w:r>
      <w:proofErr w:type="spellEnd"/>
      <w:r w:rsidRPr="002F64E6">
        <w:t xml:space="preserve"> программы долгосрочных сбережений в части налоговых стимулов и механизмов </w:t>
      </w:r>
      <w:proofErr w:type="spellStart"/>
      <w:r w:rsidRPr="002F64E6">
        <w:t>софинансирования</w:t>
      </w:r>
      <w:proofErr w:type="spellEnd"/>
      <w:r w:rsidRPr="002F64E6">
        <w:t xml:space="preserve">, а главными неудачами — отдельные проблемы ПДС, связанные с </w:t>
      </w:r>
      <w:proofErr w:type="spellStart"/>
      <w:r w:rsidRPr="002F64E6">
        <w:t>мисселингом</w:t>
      </w:r>
      <w:proofErr w:type="spellEnd"/>
      <w:r w:rsidRPr="002F64E6">
        <w:t xml:space="preserve"> и всплеском расторжений, а также неопределенность в отношении перспектив развития ОПС и НПО.</w:t>
      </w:r>
    </w:p>
    <w:p w14:paraId="10343A2A" w14:textId="77777777" w:rsidR="008246DD" w:rsidRPr="002F64E6" w:rsidRDefault="008246DD" w:rsidP="008246DD">
      <w:r w:rsidRPr="002F64E6">
        <w:t xml:space="preserve">Программа долгосрочных сбережений (ПДС) — это добровольный </w:t>
      </w:r>
      <w:proofErr w:type="spellStart"/>
      <w:r w:rsidRPr="002F64E6">
        <w:t>накопительно</w:t>
      </w:r>
      <w:proofErr w:type="spellEnd"/>
      <w:r w:rsidRPr="002F64E6">
        <w:t>-сберегательный продукт для граждан с участием государства.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 д.</w:t>
      </w:r>
    </w:p>
    <w:p w14:paraId="3EA82484" w14:textId="77777777" w:rsidR="008246DD" w:rsidRPr="002F64E6" w:rsidRDefault="008246DD" w:rsidP="008246DD">
      <w:r w:rsidRPr="002F64E6">
        <w:t>По данным Банка России, по состоянию на 1 января 2026 года в ПДС привлечено ₽717 млрд, количество договоров составляет 10 млн штук.</w:t>
      </w:r>
    </w:p>
    <w:p w14:paraId="538DABD3" w14:textId="1F010551" w:rsidR="008246DD" w:rsidRPr="002F64E6" w:rsidRDefault="008246DD" w:rsidP="008246DD">
      <w:r w:rsidRPr="002F64E6">
        <w:t xml:space="preserve">По результатам опроса </w:t>
      </w:r>
      <w:r w:rsidR="00E77AB9">
        <w:t>«</w:t>
      </w:r>
      <w:r w:rsidRPr="002F64E6">
        <w:t>РБК Инвестиций</w:t>
      </w:r>
      <w:r w:rsidR="00E77AB9">
        <w:t>»</w:t>
      </w:r>
      <w:r w:rsidRPr="002F64E6">
        <w:t>, за 2025 год доходность портфелей ПДС, перечисленная на счета клиентов, составила в среднем около 19%.</w:t>
      </w:r>
    </w:p>
    <w:p w14:paraId="7D05AF9D" w14:textId="77777777" w:rsidR="008246DD" w:rsidRPr="002F64E6" w:rsidRDefault="008246DD" w:rsidP="008246DD">
      <w:r w:rsidRPr="002F64E6">
        <w:t>Как улучшить программу долгосрочных сбережений: мнение НПФ</w:t>
      </w:r>
    </w:p>
    <w:p w14:paraId="5E2F24CD" w14:textId="1A03D394" w:rsidR="008246DD" w:rsidRPr="002F64E6" w:rsidRDefault="008246DD" w:rsidP="008246DD">
      <w:r w:rsidRPr="002F64E6">
        <w:t xml:space="preserve">Агентство </w:t>
      </w:r>
      <w:r w:rsidR="00E77AB9">
        <w:t>«</w:t>
      </w:r>
      <w:r w:rsidRPr="002F64E6">
        <w:t>Эксперт РА</w:t>
      </w:r>
      <w:r w:rsidR="00E77AB9">
        <w:t>»</w:t>
      </w:r>
      <w:r w:rsidRPr="002F64E6">
        <w:t xml:space="preserve"> попросило негосударственные пенсионные фонды определить, какие дополнительные меры регулирования смогут дать дополнительный стимул развития отрасли.</w:t>
      </w:r>
    </w:p>
    <w:p w14:paraId="51A3B599" w14:textId="5EB7ED24" w:rsidR="008246DD" w:rsidRPr="002F64E6" w:rsidRDefault="00E77AB9" w:rsidP="008246DD">
      <w:r>
        <w:t>«</w:t>
      </w:r>
      <w:r w:rsidR="008246DD" w:rsidRPr="002F64E6">
        <w:t>По мнению опрошенных НПФ, для эффективного развития пенсионному рынку необходимы регуляторная стабильность и долгосрочная стратегия развития, чтобы участники рынка и граждане могли планировать накопления на долгосрочном горизонте</w:t>
      </w:r>
      <w:r>
        <w:t>»</w:t>
      </w:r>
      <w:r w:rsidR="008246DD" w:rsidRPr="002F64E6">
        <w:t>, — сообщили авторы исследования.</w:t>
      </w:r>
    </w:p>
    <w:p w14:paraId="107A825B" w14:textId="77777777" w:rsidR="008246DD" w:rsidRPr="002F64E6" w:rsidRDefault="008246DD" w:rsidP="008246DD">
      <w:r w:rsidRPr="002F64E6">
        <w:t>Кроме того, фонды считают, что привлечение молодых граждан в ПДС послужит стимулом для дальнейшего развития пенсионного рынка. Среди предложений, в частности, были озвучены:</w:t>
      </w:r>
    </w:p>
    <w:p w14:paraId="46E79362" w14:textId="77777777" w:rsidR="008246DD" w:rsidRPr="002F64E6" w:rsidRDefault="008246DD" w:rsidP="008246DD">
      <w:r w:rsidRPr="002F64E6">
        <w:t xml:space="preserve">внедрение детского ПДС с отдельным </w:t>
      </w:r>
      <w:proofErr w:type="spellStart"/>
      <w:r w:rsidRPr="002F64E6">
        <w:t>софинансированием</w:t>
      </w:r>
      <w:proofErr w:type="spellEnd"/>
      <w:r w:rsidRPr="002F64E6">
        <w:t>,</w:t>
      </w:r>
    </w:p>
    <w:p w14:paraId="3D0DE487" w14:textId="77777777" w:rsidR="008246DD" w:rsidRPr="002F64E6" w:rsidRDefault="008246DD" w:rsidP="008246DD">
      <w:r w:rsidRPr="002F64E6">
        <w:t>возможность перевода материнского капитала в программу,</w:t>
      </w:r>
    </w:p>
    <w:p w14:paraId="5904E549" w14:textId="77777777" w:rsidR="008246DD" w:rsidRPr="002F64E6" w:rsidRDefault="008246DD" w:rsidP="008246DD">
      <w:r w:rsidRPr="002F64E6">
        <w:t>расширение перечня особых жизненных ситуаций (например, покупка квартиры или оплата образования),</w:t>
      </w:r>
    </w:p>
    <w:p w14:paraId="2BDCFDFC" w14:textId="77777777" w:rsidR="008246DD" w:rsidRPr="002F64E6" w:rsidRDefault="008246DD" w:rsidP="008246DD">
      <w:r w:rsidRPr="002F64E6">
        <w:t>индексация основных параметров,</w:t>
      </w:r>
    </w:p>
    <w:p w14:paraId="58086591" w14:textId="77777777" w:rsidR="008246DD" w:rsidRPr="002F64E6" w:rsidRDefault="008246DD" w:rsidP="008246DD">
      <w:r w:rsidRPr="002F64E6">
        <w:t>более гибкие и конкурентоспособные условия программы.</w:t>
      </w:r>
    </w:p>
    <w:p w14:paraId="552D4E48" w14:textId="77777777" w:rsidR="008246DD" w:rsidRPr="002F64E6" w:rsidRDefault="008246DD" w:rsidP="008246DD">
      <w:r w:rsidRPr="002F64E6">
        <w:t>Кроме того, многие фонды отмечают необходимость конвертации ОПС в ПДС, а также либерализации переходов внутри одного НПФ по разным программам без потери инвестиционного дохода.</w:t>
      </w:r>
    </w:p>
    <w:p w14:paraId="4620FB7E" w14:textId="77777777" w:rsidR="008246DD" w:rsidRPr="002F64E6" w:rsidRDefault="008246DD" w:rsidP="008246DD">
      <w:r w:rsidRPr="002F64E6">
        <w:t>По условиям программы участник может перевести средства накопительной пенсии из системы обязательного пенсионного страхования в программу долгосрочных сбережений.</w:t>
      </w:r>
    </w:p>
    <w:p w14:paraId="7A5CFAB8" w14:textId="77777777" w:rsidR="008246DD" w:rsidRPr="002F64E6" w:rsidRDefault="008246DD" w:rsidP="008246DD">
      <w:r w:rsidRPr="002F64E6">
        <w:t xml:space="preserve">Летом 2025 года в рамках ПМЭФ-2025 глава комитета Госдумы по </w:t>
      </w:r>
      <w:proofErr w:type="spellStart"/>
      <w:r w:rsidRPr="002F64E6">
        <w:t>финрынку</w:t>
      </w:r>
      <w:proofErr w:type="spellEnd"/>
      <w:r w:rsidRPr="002F64E6">
        <w:t xml:space="preserve"> Анатолий Аксаков сообщил, что запускает обсуждение возможности </w:t>
      </w:r>
      <w:proofErr w:type="spellStart"/>
      <w:r w:rsidRPr="002F64E6">
        <w:t>автоперевода</w:t>
      </w:r>
      <w:proofErr w:type="spellEnd"/>
      <w:r w:rsidRPr="002F64E6">
        <w:t xml:space="preserve"> накопительной </w:t>
      </w:r>
      <w:r w:rsidRPr="002F64E6">
        <w:lastRenderedPageBreak/>
        <w:t>части пенсии россиян из системы обязательного пенсионного страхования в программы долгосрочных сбережений, которыми управляют негосударственные пенсионные фонды. В Минфине тогда сообщили о готовности рассмотреть данную инициативу.</w:t>
      </w:r>
    </w:p>
    <w:p w14:paraId="5C0B5EE7" w14:textId="77777777" w:rsidR="008246DD" w:rsidRPr="002F64E6" w:rsidRDefault="008246DD" w:rsidP="008246DD">
      <w:r w:rsidRPr="002F64E6">
        <w:t>Что ранее уже обсуждалось из новаций в ПДС</w:t>
      </w:r>
    </w:p>
    <w:p w14:paraId="3B4499B6" w14:textId="05178B45" w:rsidR="008246DD" w:rsidRPr="002F64E6" w:rsidRDefault="008246DD" w:rsidP="008246DD">
      <w:r w:rsidRPr="002F64E6">
        <w:t xml:space="preserve">В июне 2025 года в Минфине заявили, что рассматривают варианты </w:t>
      </w:r>
      <w:proofErr w:type="spellStart"/>
      <w:r w:rsidRPr="002F64E6">
        <w:t>софинансирования</w:t>
      </w:r>
      <w:proofErr w:type="spellEnd"/>
      <w:r w:rsidRPr="002F64E6">
        <w:t xml:space="preserve"> детских программ долгосрочных сбережений, которые станут одним из продуктов линейки инструментов для семейных сбережений. Тогда в ведомстве обсуждались два варианта — ₽36 тыс. (по аналогии со </w:t>
      </w:r>
      <w:r w:rsidR="00E77AB9">
        <w:t>«</w:t>
      </w:r>
      <w:r w:rsidRPr="002F64E6">
        <w:t>взрослым</w:t>
      </w:r>
      <w:r w:rsidR="00E77AB9">
        <w:t>»</w:t>
      </w:r>
      <w:r w:rsidRPr="002F64E6">
        <w:t xml:space="preserve"> ПДС) и ₽24 тыс.</w:t>
      </w:r>
    </w:p>
    <w:p w14:paraId="51C9B422" w14:textId="67571237" w:rsidR="008246DD" w:rsidRPr="002F64E6" w:rsidRDefault="008246DD" w:rsidP="008246DD">
      <w:r w:rsidRPr="002F64E6">
        <w:t xml:space="preserve">Большинство представителей пенсионного рынка, опрошенных ранее </w:t>
      </w:r>
      <w:r w:rsidR="00E77AB9">
        <w:t>«</w:t>
      </w:r>
      <w:r w:rsidRPr="002F64E6">
        <w:t>РБК Инвестициями</w:t>
      </w:r>
      <w:r w:rsidR="00E77AB9">
        <w:t>»</w:t>
      </w:r>
      <w:r w:rsidRPr="002F64E6">
        <w:t xml:space="preserve">, посчитали сумму </w:t>
      </w:r>
      <w:proofErr w:type="spellStart"/>
      <w:r w:rsidRPr="002F64E6">
        <w:t>софинансирования</w:t>
      </w:r>
      <w:proofErr w:type="spellEnd"/>
      <w:r w:rsidRPr="002F64E6">
        <w:t xml:space="preserve"> </w:t>
      </w:r>
      <w:r w:rsidR="00E77AB9">
        <w:t>«</w:t>
      </w:r>
      <w:r w:rsidRPr="002F64E6">
        <w:t>детского</w:t>
      </w:r>
      <w:r w:rsidR="00E77AB9">
        <w:t>»</w:t>
      </w:r>
      <w:r w:rsidRPr="002F64E6">
        <w:t xml:space="preserve"> ПДС-счета ₽36 тыс. в год оптимальной. Но окончательное решение не принято до сих пор, и отдельного </w:t>
      </w:r>
      <w:proofErr w:type="spellStart"/>
      <w:r w:rsidRPr="002F64E6">
        <w:t>софинансирования</w:t>
      </w:r>
      <w:proofErr w:type="spellEnd"/>
      <w:r w:rsidRPr="002F64E6">
        <w:t xml:space="preserve"> детских ПДС из бюджета не производится.</w:t>
      </w:r>
    </w:p>
    <w:p w14:paraId="42104E19" w14:textId="77777777" w:rsidR="008246DD" w:rsidRPr="002F64E6" w:rsidRDefault="008246DD" w:rsidP="008246DD">
      <w:r w:rsidRPr="002F64E6">
        <w:t xml:space="preserve">Сейчас максимальное </w:t>
      </w:r>
      <w:proofErr w:type="spellStart"/>
      <w:r w:rsidRPr="002F64E6">
        <w:t>софинансирование</w:t>
      </w:r>
      <w:proofErr w:type="spellEnd"/>
      <w:r w:rsidRPr="002F64E6">
        <w:t xml:space="preserve"> от государства в рамках ПДС, рассчитанное на десять лет, составляет не более ₽36 тыс. в год и зависит от среднего дохода участника:</w:t>
      </w:r>
    </w:p>
    <w:p w14:paraId="0690F572" w14:textId="77777777" w:rsidR="008246DD" w:rsidRPr="002F64E6" w:rsidRDefault="008246DD" w:rsidP="008246DD">
      <w:r w:rsidRPr="002F64E6">
        <w:t>при заработке не более ₽80 тыс. в месяц поддержка составит 100% на каждый рубль, внесенный владельцем ПДС-счета;</w:t>
      </w:r>
    </w:p>
    <w:p w14:paraId="0224BA29" w14:textId="77777777" w:rsidR="008246DD" w:rsidRPr="002F64E6" w:rsidRDefault="008246DD" w:rsidP="008246DD">
      <w:r w:rsidRPr="002F64E6">
        <w:t>при доходе ₽80–150 тыс. — государство добавит 50%;</w:t>
      </w:r>
    </w:p>
    <w:p w14:paraId="56065CA8" w14:textId="77777777" w:rsidR="008246DD" w:rsidRPr="002F64E6" w:rsidRDefault="008246DD" w:rsidP="008246DD">
      <w:r w:rsidRPr="002F64E6">
        <w:t>от ₽150 тыс. и выше — только 25%.</w:t>
      </w:r>
    </w:p>
    <w:p w14:paraId="4D1D87DA" w14:textId="77777777" w:rsidR="008246DD" w:rsidRPr="002F64E6" w:rsidRDefault="008246DD" w:rsidP="008246DD">
      <w:r w:rsidRPr="002F64E6">
        <w:t xml:space="preserve">Участник программы в текущей концепции может открыть три ПДС, в том числе на членов семьи, но в этом случае его </w:t>
      </w:r>
      <w:proofErr w:type="spellStart"/>
      <w:r w:rsidRPr="002F64E6">
        <w:t>софинансирование</w:t>
      </w:r>
      <w:proofErr w:type="spellEnd"/>
      <w:r w:rsidRPr="002F64E6">
        <w:t xml:space="preserve"> будет разделено между счетами, налоговый вычет он получит, только если договоров не более трех.</w:t>
      </w:r>
    </w:p>
    <w:p w14:paraId="00F1997B" w14:textId="77777777" w:rsidR="008246DD" w:rsidRPr="002F64E6" w:rsidRDefault="008246DD" w:rsidP="008246DD">
      <w:r w:rsidRPr="002F64E6">
        <w:t>Кроме того, осенью 2025 года представители НПФ выступили с инициативой адаптации пенсионных портфелей под пол и возраст участника программы долгосрочных сбережений. По их мнению, это повысит привлекательность программы для молодого поколения.</w:t>
      </w:r>
    </w:p>
    <w:p w14:paraId="4F99AAA5" w14:textId="77777777" w:rsidR="008246DD" w:rsidRPr="002F64E6" w:rsidRDefault="008246DD" w:rsidP="008246DD">
      <w:r w:rsidRPr="002F64E6">
        <w:t xml:space="preserve">Тогда в Минфине сообщили, что действующее законодательство России не содержит прямых ограничений и не препятствует негосударственным пенсионным фондам предусматривать различные инвестиционные портфели для различных категорий граждан. В данном случае речь может идти и о </w:t>
      </w:r>
      <w:proofErr w:type="spellStart"/>
      <w:r w:rsidRPr="002F64E6">
        <w:t>донастройке</w:t>
      </w:r>
      <w:proofErr w:type="spellEnd"/>
      <w:r w:rsidRPr="002F64E6">
        <w:t xml:space="preserve"> регулирования.</w:t>
      </w:r>
    </w:p>
    <w:p w14:paraId="5534672A" w14:textId="77777777" w:rsidR="008246DD" w:rsidRPr="002F64E6" w:rsidRDefault="008246DD" w:rsidP="008246DD">
      <w:r w:rsidRPr="002F64E6">
        <w:t>В Банке России отметили, что возрастная инвестиционная стратегия должна быть прописана в договорах с клиентами и пенсионных правилах или правилах формирования долгосрочных сбережений для корректного расчета результата размещения пенсионных средств.</w:t>
      </w:r>
    </w:p>
    <w:p w14:paraId="75CA024F" w14:textId="483BA8DF" w:rsidR="00111D7C" w:rsidRDefault="000D71EB" w:rsidP="008246DD">
      <w:hyperlink r:id="rId15" w:history="1">
        <w:r w:rsidR="008246DD" w:rsidRPr="002F64E6">
          <w:rPr>
            <w:rStyle w:val="a3"/>
          </w:rPr>
          <w:t>https://www.rbc.ru/quote/news/article/69a6cc929a794760f5427717</w:t>
        </w:r>
      </w:hyperlink>
    </w:p>
    <w:p w14:paraId="2DEF7F16" w14:textId="0F3C178C" w:rsidR="009171B7" w:rsidRDefault="009171B7" w:rsidP="009171B7">
      <w:pPr>
        <w:pStyle w:val="2"/>
      </w:pPr>
      <w:bookmarkStart w:id="60" w:name="_Toc223591108"/>
      <w:r>
        <w:lastRenderedPageBreak/>
        <w:t xml:space="preserve">Эксперт </w:t>
      </w:r>
      <w:proofErr w:type="spellStart"/>
      <w:r>
        <w:t>Online</w:t>
      </w:r>
      <w:proofErr w:type="spellEnd"/>
      <w:r>
        <w:t>, 04.03.2026</w:t>
      </w:r>
      <w:r w:rsidRPr="0015381F">
        <w:t xml:space="preserve">, </w:t>
      </w:r>
      <w:r>
        <w:t>В ЦБ отметили слабый интерес молодежи к программе долгосрочных сбережений</w:t>
      </w:r>
      <w:bookmarkEnd w:id="60"/>
    </w:p>
    <w:p w14:paraId="7398DBA0" w14:textId="77777777" w:rsidR="009171B7" w:rsidRDefault="009171B7" w:rsidP="009171B7">
      <w:pPr>
        <w:pStyle w:val="3"/>
      </w:pPr>
      <w:bookmarkStart w:id="61" w:name="_Toc223591109"/>
      <w:r>
        <w:t xml:space="preserve">Программа долгосрочных сбережений (ПДС), запущенная год назад и ориентированная в первую очередь на граждан среднего возраста и молодежь, пока не пользуется спросом у целевой аудитории. Об этом заявила директор департамента инвестиционных финансовых посредников Банка России Ольга </w:t>
      </w:r>
      <w:proofErr w:type="spellStart"/>
      <w:r>
        <w:t>Шишлянникова</w:t>
      </w:r>
      <w:proofErr w:type="spellEnd"/>
      <w:r>
        <w:t xml:space="preserve"> в ходе форума лидеров рынка управления активами, организованного рейтинговым агентством «Эксперт РА».</w:t>
      </w:r>
      <w:bookmarkEnd w:id="61"/>
    </w:p>
    <w:p w14:paraId="4A2E6F41" w14:textId="77777777" w:rsidR="009171B7" w:rsidRDefault="009171B7" w:rsidP="009171B7">
      <w:r>
        <w:t xml:space="preserve">«Мы видим, что, к сожалению, инструмент, который мы рассчитывали будет пользоваться спросом у лиц среднего возраста и молодежи, пользуется огромным спросом у лиц </w:t>
      </w:r>
      <w:proofErr w:type="spellStart"/>
      <w:r>
        <w:t>предпенсионного</w:t>
      </w:r>
      <w:proofErr w:type="spellEnd"/>
      <w:r>
        <w:t xml:space="preserve"> и пенсионного возраста в силу тех льгот, которые государство дает по этим инструментам, которыми они могут быстро воспользоваться», - сказала Ольга </w:t>
      </w:r>
      <w:proofErr w:type="spellStart"/>
      <w:r>
        <w:t>Шишлянникова</w:t>
      </w:r>
      <w:proofErr w:type="spellEnd"/>
      <w:r>
        <w:t xml:space="preserve"> </w:t>
      </w:r>
      <w:proofErr w:type="gramStart"/>
      <w:r>
        <w:t>( цитата</w:t>
      </w:r>
      <w:proofErr w:type="gramEnd"/>
      <w:r>
        <w:t xml:space="preserve"> по ТАСС).</w:t>
      </w:r>
    </w:p>
    <w:p w14:paraId="726EDA44" w14:textId="77777777" w:rsidR="009171B7" w:rsidRDefault="009171B7" w:rsidP="009171B7">
      <w:r>
        <w:t>Она подчеркнула, что регулятор хотел бы добиться переориентации ПДС на ту возрастную группу, для которой она изначально создавалась. Сейчас Банк России совместно с Минфином и участниками рынка обсуждает поправки, призванные решить эту задачу.</w:t>
      </w:r>
    </w:p>
    <w:p w14:paraId="21B851C0" w14:textId="77777777" w:rsidR="009171B7" w:rsidRDefault="009171B7" w:rsidP="009171B7">
      <w:r>
        <w:t xml:space="preserve">Как уточнила Ольга </w:t>
      </w:r>
      <w:proofErr w:type="spellStart"/>
      <w:r>
        <w:t>Шишлянникова</w:t>
      </w:r>
      <w:proofErr w:type="spellEnd"/>
      <w:r>
        <w:t xml:space="preserve"> в беседе с журналистами, цель корректировок - не столько повысить привлекательность для молодежи, сколько устранить дисбаланс между разными возрастными категориями. «Потому что сейчас молодежи для того, чтобы воспользоваться полным объемом преимуществ, надо от 10 до 15 лет пробыть в этом инструменте, а людям пенсионного и пенсионного возраста достаточно одного года», - пояснила она.</w:t>
      </w:r>
    </w:p>
    <w:p w14:paraId="3724ED92" w14:textId="77777777" w:rsidR="009171B7" w:rsidRDefault="009171B7" w:rsidP="009171B7">
      <w:r>
        <w:t>Программа долгосрочных сбережений заработала в России с 1 января 2024 года. Участие в ней могут принять граждане с 18 лет. Средства на счетах (взносы и ранее сформированные пенсионные накопления) инвестируются негосударственными пенсионными фондами и застрахованы государством на сумму до 2,8 млн руб. Получить выплаты до истечения обязательного 15-летнего срока можно при достижении женщинами 55 лет и мужчинами 60 лет.</w:t>
      </w:r>
    </w:p>
    <w:p w14:paraId="1EBAC412" w14:textId="77777777" w:rsidR="009171B7" w:rsidRDefault="009171B7" w:rsidP="009171B7">
      <w:r>
        <w:t>По данным на 1 января 2026 года, по программе ПДС заключено 10 млн договоров. Всего в программу привлечено 717 млрд руб.</w:t>
      </w:r>
    </w:p>
    <w:p w14:paraId="7E00ABB2" w14:textId="77777777" w:rsidR="009171B7" w:rsidRDefault="009171B7" w:rsidP="009171B7">
      <w:r>
        <w:t xml:space="preserve">В феврале Минфин предложил увеличить срок снятия средств </w:t>
      </w:r>
      <w:proofErr w:type="spellStart"/>
      <w:r>
        <w:t>софинансирования</w:t>
      </w:r>
      <w:proofErr w:type="spellEnd"/>
      <w:r>
        <w:t xml:space="preserve"> по ПСД до пяти лет. Замминистра финансов Иван </w:t>
      </w:r>
      <w:proofErr w:type="spellStart"/>
      <w:r>
        <w:t>Чебесков</w:t>
      </w:r>
      <w:proofErr w:type="spellEnd"/>
      <w:r>
        <w:t xml:space="preserve"> пояснил, что инициатива призвана избавиться от правовой коллизии, когда некоторые граждане выводят средства спустя год, хотя государство рассчитывает на долгосрочные сбережения.</w:t>
      </w:r>
    </w:p>
    <w:p w14:paraId="3C254AC4" w14:textId="1FF3E7D4" w:rsidR="009171B7" w:rsidRPr="003665FD" w:rsidRDefault="000D71EB" w:rsidP="009171B7">
      <w:hyperlink r:id="rId16" w:history="1">
        <w:r w:rsidR="009171B7" w:rsidRPr="00C91C33">
          <w:rPr>
            <w:rStyle w:val="a3"/>
          </w:rPr>
          <w:t>https://expert.ru/news/v-tsb-otmetili-slabyy-interes-molodezhi-k-programme-dolgosrochnykh-sberezheniy/</w:t>
        </w:r>
      </w:hyperlink>
      <w:r w:rsidR="009171B7">
        <w:t xml:space="preserve"> </w:t>
      </w:r>
    </w:p>
    <w:p w14:paraId="50BA579A" w14:textId="1F8F2C9A" w:rsidR="007B05D4" w:rsidRPr="003665FD" w:rsidRDefault="007B05D4" w:rsidP="007B05D4">
      <w:pPr>
        <w:pStyle w:val="2"/>
      </w:pPr>
      <w:bookmarkStart w:id="62" w:name="_Toc223591110"/>
      <w:r>
        <w:lastRenderedPageBreak/>
        <w:t>Конкурент</w:t>
      </w:r>
      <w:r w:rsidRPr="007B05D4">
        <w:t>, 05.03.2026, Центробанк обнулит надежды: пенсионеров оставят у разбитого корыта</w:t>
      </w:r>
      <w:bookmarkEnd w:id="62"/>
    </w:p>
    <w:p w14:paraId="7E610631" w14:textId="77777777" w:rsidR="007B05D4" w:rsidRPr="00EE5E1B" w:rsidRDefault="007B05D4" w:rsidP="007B05D4">
      <w:pPr>
        <w:pStyle w:val="3"/>
      </w:pPr>
      <w:bookmarkStart w:id="63" w:name="_Toc223591111"/>
      <w:r w:rsidRPr="00EE5E1B">
        <w:t xml:space="preserve">Программа долгосрочных сбережений (ПДС), изначально ориентированная на молодежь и людей среднего возраста, оказалась более востребованной среди россиян </w:t>
      </w:r>
      <w:proofErr w:type="spellStart"/>
      <w:r w:rsidRPr="00EE5E1B">
        <w:t>предпенсионного</w:t>
      </w:r>
      <w:proofErr w:type="spellEnd"/>
      <w:r w:rsidRPr="00EE5E1B">
        <w:t xml:space="preserve"> и пенсионного возраста. Об этом сообщила директор департамента инвестиционных финансовых посредников Банка России Ольга </w:t>
      </w:r>
      <w:proofErr w:type="spellStart"/>
      <w:r w:rsidRPr="00EE5E1B">
        <w:t>Шишлянникова</w:t>
      </w:r>
      <w:proofErr w:type="spellEnd"/>
      <w:r w:rsidRPr="00EE5E1B">
        <w:t>.</w:t>
      </w:r>
      <w:bookmarkEnd w:id="63"/>
    </w:p>
    <w:p w14:paraId="4A0E9DB4" w14:textId="77777777" w:rsidR="007B05D4" w:rsidRPr="00EE5E1B" w:rsidRDefault="007B05D4" w:rsidP="007B05D4">
      <w:r w:rsidRPr="00EE5E1B">
        <w:t>По ее словам, причиной такой популярности у старшего поколения являются государственные льготы, которыми они могут воспользоваться быстрее, чем молодые граждане.</w:t>
      </w:r>
    </w:p>
    <w:p w14:paraId="723C2C62" w14:textId="77777777" w:rsidR="007B05D4" w:rsidRPr="00EE5E1B" w:rsidRDefault="007B05D4" w:rsidP="007B05D4">
      <w:r w:rsidRPr="00EE5E1B">
        <w:t xml:space="preserve">«Мы видим, что, к сожалению, инструмент, который, как мы рассчитывали, будет пользоваться спросом у лиц среднего возраста и молодежи, пользуется огромным спросом у лиц </w:t>
      </w:r>
      <w:proofErr w:type="spellStart"/>
      <w:r w:rsidRPr="00EE5E1B">
        <w:t>предпенсионного</w:t>
      </w:r>
      <w:proofErr w:type="spellEnd"/>
      <w:r w:rsidRPr="00EE5E1B">
        <w:t xml:space="preserve">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 – цитирует </w:t>
      </w:r>
      <w:proofErr w:type="spellStart"/>
      <w:r w:rsidRPr="00EE5E1B">
        <w:t>Шишлянникову</w:t>
      </w:r>
      <w:proofErr w:type="spellEnd"/>
      <w:r w:rsidRPr="00EE5E1B">
        <w:t xml:space="preserve"> ТАСС.</w:t>
      </w:r>
    </w:p>
    <w:p w14:paraId="7E0C3C53" w14:textId="77777777" w:rsidR="007B05D4" w:rsidRPr="00EE5E1B" w:rsidRDefault="007B05D4" w:rsidP="007B05D4">
      <w:r w:rsidRPr="00EE5E1B">
        <w:t>Центробанк стремится переориентировать программу на целевую аудиторию. Для этого разрабатываются поправки, которые регулятор обсуждает с рынком и Министерством финансов. Цель изменений – обеспечить равные возможности для всех возрастных групп.</w:t>
      </w:r>
    </w:p>
    <w:p w14:paraId="7FD08A5A" w14:textId="77777777" w:rsidR="007B05D4" w:rsidRPr="00EE5E1B" w:rsidRDefault="007B05D4" w:rsidP="007B05D4">
      <w:r w:rsidRPr="00EE5E1B">
        <w:t xml:space="preserve">«Молодежи для получения всех преимуществ программы требуется от 10 до 15 лет участия, тогда как людям </w:t>
      </w:r>
      <w:proofErr w:type="spellStart"/>
      <w:r w:rsidRPr="00EE5E1B">
        <w:t>предпенсионного</w:t>
      </w:r>
      <w:proofErr w:type="spellEnd"/>
      <w:r w:rsidRPr="00EE5E1B">
        <w:t xml:space="preserve"> и пенсионного возраста достаточно одного года», – пояснила </w:t>
      </w:r>
      <w:proofErr w:type="spellStart"/>
      <w:r w:rsidRPr="00EE5E1B">
        <w:t>Шишлянникова</w:t>
      </w:r>
      <w:proofErr w:type="spellEnd"/>
      <w:r w:rsidRPr="00EE5E1B">
        <w:t>.</w:t>
      </w:r>
    </w:p>
    <w:p w14:paraId="2B27B475" w14:textId="77777777" w:rsidR="007B05D4" w:rsidRPr="00EE5E1B" w:rsidRDefault="007B05D4" w:rsidP="007B05D4">
      <w:r w:rsidRPr="00EE5E1B">
        <w:t xml:space="preserve">Подробности она не привела. Однако ранее Министерство финансов РФ выступило с инициативой ограничить возможность немедленного вывода средств, полученных в рамках государственной программы </w:t>
      </w:r>
      <w:proofErr w:type="spellStart"/>
      <w:r w:rsidRPr="00EE5E1B">
        <w:t>софинансирования</w:t>
      </w:r>
      <w:proofErr w:type="spellEnd"/>
      <w:r w:rsidRPr="00EE5E1B">
        <w:t xml:space="preserve"> долгосрочных сбережений. Ведомство также рассматривает увеличение срока, в течение которого эти деньги будут недоступны. Такая корректировка стала необходимой после того, как в третьем квартале прошлого года пенсионеры, получив годовое </w:t>
      </w:r>
      <w:proofErr w:type="spellStart"/>
      <w:r w:rsidRPr="00EE5E1B">
        <w:t>софинансирование</w:t>
      </w:r>
      <w:proofErr w:type="spellEnd"/>
      <w:r w:rsidRPr="00EE5E1B">
        <w:t xml:space="preserve"> от государства, вывели со своих счетов ПДС значительную сумму – около 18 млрд руб.</w:t>
      </w:r>
    </w:p>
    <w:p w14:paraId="7455BFEF" w14:textId="77777777" w:rsidR="007B05D4" w:rsidRPr="00EE5E1B" w:rsidRDefault="007B05D4" w:rsidP="007B05D4">
      <w:r w:rsidRPr="00EE5E1B">
        <w:t xml:space="preserve">Несмотря на то, что договоры ПДС заключаются на длительный срок, в 15 лет, для женщин старше 55 лет и мужчин старше 60 лет предусмотрена возможность досрочного вывода средств без потери начисленных процентов. Это привело к тому, что программа фактически использовалась как краткосрочный финансовый инструмент. Участники с ежемесячным доходом до 80 тыс. руб. имели возможность за год удвоить свои вложения благодаря государственному </w:t>
      </w:r>
      <w:proofErr w:type="spellStart"/>
      <w:r w:rsidRPr="00EE5E1B">
        <w:t>софинансированию</w:t>
      </w:r>
      <w:proofErr w:type="spellEnd"/>
      <w:r w:rsidRPr="00EE5E1B">
        <w:t>, получая при этом доходность, значительно превышающую банковские ставки.</w:t>
      </w:r>
    </w:p>
    <w:p w14:paraId="60A406FE" w14:textId="1A7B412E" w:rsidR="007B05D4" w:rsidRPr="003665FD" w:rsidRDefault="000D71EB" w:rsidP="007B05D4">
      <w:hyperlink r:id="rId17" w:history="1">
        <w:r w:rsidR="007B05D4" w:rsidRPr="00C91C33">
          <w:rPr>
            <w:rStyle w:val="a3"/>
            <w:lang w:val="en-US"/>
          </w:rPr>
          <w:t>https</w:t>
        </w:r>
        <w:r w:rsidR="007B05D4" w:rsidRPr="003665FD">
          <w:rPr>
            <w:rStyle w:val="a3"/>
          </w:rPr>
          <w:t>://</w:t>
        </w:r>
        <w:proofErr w:type="spellStart"/>
        <w:r w:rsidR="007B05D4" w:rsidRPr="00C91C33">
          <w:rPr>
            <w:rStyle w:val="a3"/>
            <w:lang w:val="en-US"/>
          </w:rPr>
          <w:t>konkurent</w:t>
        </w:r>
        <w:proofErr w:type="spellEnd"/>
        <w:r w:rsidR="007B05D4" w:rsidRPr="003665FD">
          <w:rPr>
            <w:rStyle w:val="a3"/>
          </w:rPr>
          <w:t>.</w:t>
        </w:r>
        <w:proofErr w:type="spellStart"/>
        <w:r w:rsidR="007B05D4" w:rsidRPr="00C91C33">
          <w:rPr>
            <w:rStyle w:val="a3"/>
            <w:lang w:val="en-US"/>
          </w:rPr>
          <w:t>ru</w:t>
        </w:r>
        <w:proofErr w:type="spellEnd"/>
        <w:r w:rsidR="007B05D4" w:rsidRPr="003665FD">
          <w:rPr>
            <w:rStyle w:val="a3"/>
          </w:rPr>
          <w:t>/</w:t>
        </w:r>
        <w:r w:rsidR="007B05D4" w:rsidRPr="00C91C33">
          <w:rPr>
            <w:rStyle w:val="a3"/>
            <w:lang w:val="en-US"/>
          </w:rPr>
          <w:t>article</w:t>
        </w:r>
        <w:r w:rsidR="007B05D4" w:rsidRPr="003665FD">
          <w:rPr>
            <w:rStyle w:val="a3"/>
          </w:rPr>
          <w:t>/85156</w:t>
        </w:r>
      </w:hyperlink>
      <w:r w:rsidR="007B05D4" w:rsidRPr="003665FD">
        <w:t xml:space="preserve"> </w:t>
      </w:r>
    </w:p>
    <w:p w14:paraId="7B0085B3" w14:textId="77777777" w:rsidR="00990CB4" w:rsidRPr="002F64E6" w:rsidRDefault="00990CB4" w:rsidP="00990CB4">
      <w:pPr>
        <w:pStyle w:val="2"/>
      </w:pPr>
      <w:bookmarkStart w:id="64" w:name="_Toc223591112"/>
      <w:proofErr w:type="spellStart"/>
      <w:r w:rsidRPr="002F64E6">
        <w:lastRenderedPageBreak/>
        <w:t>Роскачество</w:t>
      </w:r>
      <w:proofErr w:type="spellEnd"/>
      <w:r w:rsidRPr="002F64E6">
        <w:t>, 04.03.2026, Программа долгосрочных сбережений: плюсы и минусы</w:t>
      </w:r>
      <w:bookmarkEnd w:id="64"/>
    </w:p>
    <w:p w14:paraId="5E16201B" w14:textId="77777777" w:rsidR="00990CB4" w:rsidRPr="002F64E6" w:rsidRDefault="00990CB4" w:rsidP="003F5B32">
      <w:pPr>
        <w:pStyle w:val="3"/>
      </w:pPr>
      <w:bookmarkStart w:id="65" w:name="_Toc223591113"/>
      <w:r w:rsidRPr="002F64E6">
        <w:t>Программа долгосрочных сбережений (ПДС) стала одной из самых обсуждаемых финансовых инициатив последних лет. Мнения россиян разделились: одни видят в ней возможность сохранить и приумножить капитал, другие — очередную ловушку со стороны государства.</w:t>
      </w:r>
      <w:bookmarkEnd w:id="65"/>
      <w:r w:rsidRPr="002F64E6">
        <w:t xml:space="preserve"> </w:t>
      </w:r>
    </w:p>
    <w:p w14:paraId="11DAA439" w14:textId="30F78ECE" w:rsidR="00990CB4" w:rsidRPr="002F64E6" w:rsidRDefault="00990CB4" w:rsidP="00990CB4">
      <w:r w:rsidRPr="002F64E6">
        <w:t xml:space="preserve">Аргументы </w:t>
      </w:r>
      <w:r w:rsidR="00E77AB9">
        <w:t>«</w:t>
      </w:r>
      <w:r w:rsidRPr="002F64E6">
        <w:t>Против</w:t>
      </w:r>
      <w:r w:rsidR="00E77AB9">
        <w:t>»</w:t>
      </w:r>
      <w:r w:rsidRPr="002F64E6">
        <w:t>: недостатки и минусы</w:t>
      </w:r>
    </w:p>
    <w:p w14:paraId="0BDACE37" w14:textId="77777777" w:rsidR="00990CB4" w:rsidRPr="002F64E6" w:rsidRDefault="00990CB4" w:rsidP="00990CB4">
      <w:r w:rsidRPr="002F64E6">
        <w:t>Сложные условия выхода и давление банков</w:t>
      </w:r>
    </w:p>
    <w:p w14:paraId="6425CD99" w14:textId="77777777" w:rsidR="00990CB4" w:rsidRPr="002F64E6" w:rsidRDefault="00990CB4" w:rsidP="00990CB4">
      <w:r w:rsidRPr="002F64E6">
        <w:t>Уже действующие участники программы сталкиваются с проблемами при попытке выйти из нее. В отзывах встречаются жалобы на то, что:</w:t>
      </w:r>
    </w:p>
    <w:p w14:paraId="194D5A93" w14:textId="77777777" w:rsidR="00990CB4" w:rsidRPr="002F64E6" w:rsidRDefault="00990CB4" w:rsidP="00990CB4">
      <w:r w:rsidRPr="002F64E6">
        <w:t>Банковские сотрудники активно уговаривают не закрывать счет, не давая четких ответов.</w:t>
      </w:r>
    </w:p>
    <w:p w14:paraId="479873C5" w14:textId="77777777" w:rsidR="00990CB4" w:rsidRPr="002F64E6" w:rsidRDefault="00990CB4" w:rsidP="00990CB4">
      <w:r w:rsidRPr="002F64E6">
        <w:t xml:space="preserve">Существуют риски потери внесенных средств. Например, клиент банка внесла 36 </w:t>
      </w:r>
      <w:proofErr w:type="gramStart"/>
      <w:r w:rsidRPr="002F64E6">
        <w:t>000 ₽,</w:t>
      </w:r>
      <w:proofErr w:type="gramEnd"/>
      <w:r w:rsidRPr="002F64E6">
        <w:t xml:space="preserve"> но при закрытии программы опасается не вернуть их вовсе или потерять до 20% суммы.</w:t>
      </w:r>
    </w:p>
    <w:p w14:paraId="3E9E3983" w14:textId="77777777" w:rsidR="00990CB4" w:rsidRPr="002F64E6" w:rsidRDefault="00990CB4" w:rsidP="00990CB4">
      <w:r w:rsidRPr="002F64E6">
        <w:t>Условия программы плохо разъясняются на этапе подписания документов, что создает ощущение ловушки.</w:t>
      </w:r>
    </w:p>
    <w:p w14:paraId="57113479" w14:textId="77777777" w:rsidR="00990CB4" w:rsidRPr="002F64E6" w:rsidRDefault="00990CB4" w:rsidP="00990CB4">
      <w:r w:rsidRPr="002F64E6">
        <w:t>Экономическая невыгодность для гражданина</w:t>
      </w:r>
    </w:p>
    <w:p w14:paraId="4A16F6A6" w14:textId="77777777" w:rsidR="00990CB4" w:rsidRPr="002F64E6" w:rsidRDefault="00990CB4" w:rsidP="00990CB4">
      <w:r w:rsidRPr="002F64E6">
        <w:t xml:space="preserve">Существует мнение, что программа выгодна в первую очередь государству, а не гражданам. Критики утверждают: это не государство добавляет деньги гражданам, а граждане дают государству в пользование свои средства на 15 лет. Пока деньги находятся в программе, ими распоряжается государство, а не владелец. </w:t>
      </w:r>
    </w:p>
    <w:p w14:paraId="6E011F56" w14:textId="0CC802DD" w:rsidR="00990CB4" w:rsidRPr="002F64E6" w:rsidRDefault="00990CB4" w:rsidP="00990CB4">
      <w:r w:rsidRPr="002F64E6">
        <w:t xml:space="preserve">Аргументы </w:t>
      </w:r>
      <w:r w:rsidR="00E77AB9">
        <w:t>«</w:t>
      </w:r>
      <w:r w:rsidRPr="002F64E6">
        <w:t>За</w:t>
      </w:r>
      <w:r w:rsidR="00E77AB9">
        <w:t>»</w:t>
      </w:r>
      <w:r w:rsidRPr="002F64E6">
        <w:t>: возможности и выгоды</w:t>
      </w:r>
    </w:p>
    <w:p w14:paraId="3C1C08B3" w14:textId="77777777" w:rsidR="00990CB4" w:rsidRPr="002F64E6" w:rsidRDefault="00990CB4" w:rsidP="00990CB4">
      <w:proofErr w:type="spellStart"/>
      <w:r w:rsidRPr="002F64E6">
        <w:t>Разморозка</w:t>
      </w:r>
      <w:proofErr w:type="spellEnd"/>
      <w:r w:rsidRPr="002F64E6">
        <w:t xml:space="preserve"> накопительной пенсии</w:t>
      </w:r>
    </w:p>
    <w:p w14:paraId="1A868895" w14:textId="77777777" w:rsidR="00990CB4" w:rsidRPr="002F64E6" w:rsidRDefault="00990CB4" w:rsidP="00990CB4">
      <w:r w:rsidRPr="002F64E6">
        <w:t>Для многих участников ПДС — это единственный легальный способ разблокировать замороженную накопительную часть пенсии. Перевод этих средств в программу позволяет вывести их из состояния заморозки и начать ими распоряжаться. При этом некоторые пользователи планируют перевести туда замороженные средства, не добавляя своих новых денег.</w:t>
      </w:r>
    </w:p>
    <w:p w14:paraId="36326F88" w14:textId="77777777" w:rsidR="00990CB4" w:rsidRPr="002F64E6" w:rsidRDefault="00990CB4" w:rsidP="00990CB4">
      <w:r w:rsidRPr="002F64E6">
        <w:t>Государственная поддержка и налоговые льготы</w:t>
      </w:r>
    </w:p>
    <w:p w14:paraId="47ED7F1C" w14:textId="77777777" w:rsidR="00990CB4" w:rsidRPr="002F64E6" w:rsidRDefault="00990CB4" w:rsidP="00990CB4">
      <w:r w:rsidRPr="002F64E6">
        <w:t>Программа предлагает конкретные финансовые преимущества:</w:t>
      </w:r>
    </w:p>
    <w:p w14:paraId="7D3232AE" w14:textId="77777777" w:rsidR="00990CB4" w:rsidRPr="002F64E6" w:rsidRDefault="00990CB4" w:rsidP="00990CB4">
      <w:proofErr w:type="spellStart"/>
      <w:r w:rsidRPr="002F64E6">
        <w:t>Софинансирование</w:t>
      </w:r>
      <w:proofErr w:type="spellEnd"/>
      <w:r w:rsidRPr="002F64E6">
        <w:t>: Государство удваивает вложения граждан. Налоговый вычет: Участники могут получить вычет на сумму внесенных средств.</w:t>
      </w:r>
    </w:p>
    <w:p w14:paraId="09CF316E" w14:textId="77777777" w:rsidR="00990CB4" w:rsidRPr="002F64E6" w:rsidRDefault="00990CB4" w:rsidP="00990CB4">
      <w:r w:rsidRPr="002F64E6">
        <w:t>Льготное налогообложение: Доход по ПДС фактически освобожден от налогов, что повышает реальную доходность.</w:t>
      </w:r>
    </w:p>
    <w:p w14:paraId="6CA7F1F2" w14:textId="77777777" w:rsidR="00990CB4" w:rsidRPr="002F64E6" w:rsidRDefault="00990CB4" w:rsidP="00990CB4">
      <w:r w:rsidRPr="002F64E6">
        <w:t>Бонусы от банков: Финансовые организации предлагают участникам дополнительные выгодные условия.</w:t>
      </w:r>
    </w:p>
    <w:p w14:paraId="01F9B878" w14:textId="77777777" w:rsidR="00990CB4" w:rsidRPr="002F64E6" w:rsidRDefault="00990CB4" w:rsidP="00990CB4">
      <w:r w:rsidRPr="002F64E6">
        <w:t>Доступность и простота инструмента</w:t>
      </w:r>
    </w:p>
    <w:p w14:paraId="64268844" w14:textId="77777777" w:rsidR="00990CB4" w:rsidRPr="002F64E6" w:rsidRDefault="00990CB4" w:rsidP="00990CB4">
      <w:r w:rsidRPr="002F64E6">
        <w:t>ПДС позиционируется как продукт, понятный большинству людей, не обладающих глубокими финансовыми знаниями.</w:t>
      </w:r>
    </w:p>
    <w:p w14:paraId="35468D25" w14:textId="77777777" w:rsidR="00990CB4" w:rsidRPr="002F64E6" w:rsidRDefault="00990CB4" w:rsidP="00990CB4">
      <w:r w:rsidRPr="002F64E6">
        <w:lastRenderedPageBreak/>
        <w:t>Низкий порог входа: Механика проще, чем самостоятельные инвестиции на бирже.</w:t>
      </w:r>
    </w:p>
    <w:p w14:paraId="6EA19942" w14:textId="77777777" w:rsidR="00990CB4" w:rsidRPr="002F64E6" w:rsidRDefault="00990CB4" w:rsidP="00990CB4">
      <w:r w:rsidRPr="002F64E6">
        <w:t>Уровень риска: Риски сопоставимы с другими государственными продуктами, например, ОФЗ.</w:t>
      </w:r>
    </w:p>
    <w:p w14:paraId="48816A7E" w14:textId="77777777" w:rsidR="00990CB4" w:rsidRPr="002F64E6" w:rsidRDefault="00990CB4" w:rsidP="00990CB4">
      <w:r w:rsidRPr="002F64E6">
        <w:t>Доходность: НПФ в России последние 10 лет показывали доходность чуть выше инфляции. Обычному потребителю сложно гарантированно достичь такого результата самостоятельными инвестициями в долгосрочной перспективе.</w:t>
      </w:r>
    </w:p>
    <w:p w14:paraId="27DF44CF" w14:textId="77777777" w:rsidR="00990CB4" w:rsidRPr="002F64E6" w:rsidRDefault="00990CB4" w:rsidP="00990CB4">
      <w:r w:rsidRPr="002F64E6">
        <w:t>Гибкость и диверсификация</w:t>
      </w:r>
    </w:p>
    <w:p w14:paraId="3B5F754B" w14:textId="77777777" w:rsidR="00990CB4" w:rsidRPr="002F64E6" w:rsidRDefault="00990CB4" w:rsidP="00990CB4">
      <w:r w:rsidRPr="002F64E6">
        <w:t>Программа подходит для разных возрастных групп. Например, мужчины могут снять сбережения по достижении 60 лет, а женщины — 55 лет, не дожидаясь окончания 15-летнего срока.</w:t>
      </w:r>
    </w:p>
    <w:p w14:paraId="58238BA5" w14:textId="77777777" w:rsidR="00990CB4" w:rsidRPr="002F64E6" w:rsidRDefault="00990CB4" w:rsidP="00990CB4">
      <w:r w:rsidRPr="002F64E6">
        <w:t>Опытные инвесторы рассматривают ПДС не как единственный инструмент, а как часть диверсифицированного портфеля. Они сочетают программу с брокерскими счетами, накопительным страхованием жизни и недвижимостью. Для них это способ получить гарантированные вычеты и диверсифицировать риски, не отрицая при этом возможных проблем в будущем.</w:t>
      </w:r>
    </w:p>
    <w:p w14:paraId="66B12B21" w14:textId="77777777" w:rsidR="00990CB4" w:rsidRPr="002F64E6" w:rsidRDefault="00990CB4" w:rsidP="00990CB4">
      <w:r w:rsidRPr="002F64E6">
        <w:t>Итог</w:t>
      </w:r>
    </w:p>
    <w:p w14:paraId="35D08A4C" w14:textId="4F530522" w:rsidR="00990CB4" w:rsidRPr="002F64E6" w:rsidRDefault="00990CB4" w:rsidP="00990CB4">
      <w:r w:rsidRPr="002F64E6">
        <w:t xml:space="preserve">Программа долгосрочных сбережений вызывает полярные эмоции. Для </w:t>
      </w:r>
      <w:proofErr w:type="gramStart"/>
      <w:r w:rsidRPr="002F64E6">
        <w:t>одних это</w:t>
      </w:r>
      <w:proofErr w:type="gramEnd"/>
      <w:r w:rsidRPr="002F64E6">
        <w:t xml:space="preserve"> шанс </w:t>
      </w:r>
      <w:r w:rsidR="00E77AB9">
        <w:t>«</w:t>
      </w:r>
      <w:r w:rsidRPr="002F64E6">
        <w:t>спасти</w:t>
      </w:r>
      <w:r w:rsidR="00E77AB9">
        <w:t>»</w:t>
      </w:r>
      <w:r w:rsidRPr="002F64E6">
        <w:t xml:space="preserve"> замороженные пенсионные деньги и получить налоговые льготы с минимальными усилиями. Для других — рискованная схема, напоминающая прошлые финансовые потрясения, с непрозрачными условиями выхода.</w:t>
      </w:r>
    </w:p>
    <w:p w14:paraId="1C566260" w14:textId="77777777" w:rsidR="00990CB4" w:rsidRPr="002F64E6" w:rsidRDefault="00990CB4" w:rsidP="00990CB4">
      <w:r w:rsidRPr="002F64E6">
        <w:t>Решение об участии в ПДС требует взвешенного подхода: важно внимательно изучить договор, понять условия досрочного расторжения и оценить уровень личного доверия к государственным финансовым инструментам. Как показывает опыт, наилучшая стратегия — не полагаться на один инструмент, а диверсифицировать накопления.</w:t>
      </w:r>
    </w:p>
    <w:p w14:paraId="3D5AA89E" w14:textId="7276016B" w:rsidR="00990CB4" w:rsidRPr="002F64E6" w:rsidRDefault="000D71EB" w:rsidP="00990CB4">
      <w:hyperlink r:id="rId18" w:history="1">
        <w:r w:rsidR="00990CB4" w:rsidRPr="002F64E6">
          <w:rPr>
            <w:rStyle w:val="a3"/>
          </w:rPr>
          <w:t>https://rskrf.ru/tips/obzory-i-topy/programma-dolgosrochnykh-sberezheniy-plyusy-i-minusy/</w:t>
        </w:r>
      </w:hyperlink>
      <w:r w:rsidR="00990CB4" w:rsidRPr="002F64E6">
        <w:t xml:space="preserve"> </w:t>
      </w:r>
    </w:p>
    <w:p w14:paraId="77D39663" w14:textId="4089F661" w:rsidR="004307D2" w:rsidRPr="002F64E6" w:rsidRDefault="004307D2" w:rsidP="004307D2">
      <w:pPr>
        <w:pStyle w:val="2"/>
      </w:pPr>
      <w:bookmarkStart w:id="66" w:name="_Toc223591114"/>
      <w:r w:rsidRPr="002F64E6">
        <w:t xml:space="preserve">Конкурент, 04.03.2026, </w:t>
      </w:r>
      <w:r w:rsidR="00E77AB9">
        <w:t>«</w:t>
      </w:r>
      <w:r w:rsidRPr="002F64E6">
        <w:t>Будем развивать дальше</w:t>
      </w:r>
      <w:r w:rsidR="00E77AB9">
        <w:t>»</w:t>
      </w:r>
      <w:r w:rsidRPr="002F64E6">
        <w:t xml:space="preserve">. </w:t>
      </w:r>
      <w:proofErr w:type="spellStart"/>
      <w:r w:rsidRPr="002F64E6">
        <w:t>Силуанов</w:t>
      </w:r>
      <w:proofErr w:type="spellEnd"/>
      <w:r w:rsidRPr="002F64E6">
        <w:t xml:space="preserve"> пообещал денежное будущее всем, у кого есть сбережения</w:t>
      </w:r>
      <w:bookmarkEnd w:id="66"/>
    </w:p>
    <w:p w14:paraId="4A31CE9C" w14:textId="60C180BC" w:rsidR="004307D2" w:rsidRPr="002F64E6" w:rsidRDefault="004307D2" w:rsidP="003F5B32">
      <w:pPr>
        <w:pStyle w:val="3"/>
      </w:pPr>
      <w:bookmarkStart w:id="67" w:name="_Toc223591115"/>
      <w:r w:rsidRPr="002F64E6">
        <w:t xml:space="preserve">В Минфине довольны работой программы долгосрочных сбережений и намерены развивать ее и дальше. Об этом заявил глава ведомства Антон </w:t>
      </w:r>
      <w:proofErr w:type="spellStart"/>
      <w:r w:rsidRPr="002F64E6">
        <w:t>Силуанов</w:t>
      </w:r>
      <w:proofErr w:type="spellEnd"/>
      <w:r w:rsidRPr="002F64E6">
        <w:t>. Министр отметил, что за два года россияне внесли порядка 800 млрд руб. в ПДС, и власти не собираются останавливаться на достигнутом.</w:t>
      </w:r>
      <w:bookmarkEnd w:id="67"/>
    </w:p>
    <w:p w14:paraId="73D017A0" w14:textId="77777777" w:rsidR="004307D2" w:rsidRPr="002F64E6" w:rsidRDefault="004307D2" w:rsidP="004307D2">
      <w:r w:rsidRPr="002F64E6">
        <w:t>По словам главы Минфина, этот проект демонстрирует заметный успех и будет масштабироваться дальше. Ключевым плюсом программы, по мнению министра, является возможность надежно откладывать средства на значимые цели – будь то крупная покупка или исполнение заветной мечты.</w:t>
      </w:r>
    </w:p>
    <w:p w14:paraId="112756FB" w14:textId="77777777" w:rsidR="004307D2" w:rsidRPr="002F64E6" w:rsidRDefault="004307D2" w:rsidP="004307D2">
      <w:r w:rsidRPr="002F64E6">
        <w:t>Напомним, программа стартовала 1 января 2024 г. и доступна каждому совершеннолетнему гражданину.</w:t>
      </w:r>
    </w:p>
    <w:p w14:paraId="4404BE8D" w14:textId="75BBE330" w:rsidR="004307D2" w:rsidRPr="002F64E6" w:rsidRDefault="000D71EB" w:rsidP="004307D2">
      <w:hyperlink r:id="rId19" w:history="1">
        <w:r w:rsidR="004307D2" w:rsidRPr="002F64E6">
          <w:rPr>
            <w:rStyle w:val="a3"/>
          </w:rPr>
          <w:t>https://konkurent.ru/article/85139</w:t>
        </w:r>
      </w:hyperlink>
      <w:r w:rsidR="004307D2" w:rsidRPr="002F64E6">
        <w:t xml:space="preserve"> </w:t>
      </w:r>
    </w:p>
    <w:p w14:paraId="7007B819" w14:textId="74F11C5C" w:rsidR="00031010" w:rsidRPr="002F64E6" w:rsidRDefault="00031010" w:rsidP="00031010">
      <w:pPr>
        <w:pStyle w:val="2"/>
      </w:pPr>
      <w:bookmarkStart w:id="68" w:name="ф6"/>
      <w:bookmarkStart w:id="69" w:name="_Toc223591116"/>
      <w:bookmarkStart w:id="70" w:name="_Hlk223522070"/>
      <w:bookmarkEnd w:id="68"/>
      <w:proofErr w:type="spellStart"/>
      <w:r w:rsidRPr="002F64E6">
        <w:lastRenderedPageBreak/>
        <w:t>P</w:t>
      </w:r>
      <w:r w:rsidR="001A1EC1" w:rsidRPr="002F64E6">
        <w:t>LUS</w:t>
      </w:r>
      <w:r w:rsidRPr="002F64E6">
        <w:t>World</w:t>
      </w:r>
      <w:proofErr w:type="spellEnd"/>
      <w:r w:rsidRPr="002F64E6">
        <w:t xml:space="preserve">, 04.03.2026, Россиянки стали вдвое больше копить </w:t>
      </w:r>
      <w:proofErr w:type="spellStart"/>
      <w:r w:rsidRPr="002F64E6">
        <w:t>вдолгую</w:t>
      </w:r>
      <w:bookmarkEnd w:id="69"/>
      <w:proofErr w:type="spellEnd"/>
    </w:p>
    <w:p w14:paraId="732E87EC" w14:textId="77777777" w:rsidR="00031010" w:rsidRPr="002F64E6" w:rsidRDefault="00031010" w:rsidP="003F5B32">
      <w:pPr>
        <w:pStyle w:val="3"/>
      </w:pPr>
      <w:bookmarkStart w:id="71" w:name="_Toc223591117"/>
      <w:r w:rsidRPr="002F64E6">
        <w:t xml:space="preserve">По данным </w:t>
      </w:r>
      <w:proofErr w:type="spellStart"/>
      <w:r w:rsidRPr="002F64E6">
        <w:t>СберНПФ</w:t>
      </w:r>
      <w:proofErr w:type="spellEnd"/>
      <w:r w:rsidRPr="002F64E6">
        <w:t xml:space="preserve">, в 2025 году российские женщины отложили 164 млрд рублей с программой долгосрочных сбережений (ПДС). Это в два раза больше, чем годом ранее. </w:t>
      </w:r>
      <w:proofErr w:type="spellStart"/>
      <w:r w:rsidRPr="002F64E6">
        <w:t>Сберегательницы</w:t>
      </w:r>
      <w:proofErr w:type="spellEnd"/>
      <w:r w:rsidRPr="002F64E6">
        <w:t xml:space="preserve"> на четверть увеличили среднюю сумму текущего взноса. При этом самыми бережливыми оказались жительницы Москвы, Подмосковья и Краснодарского края.</w:t>
      </w:r>
      <w:bookmarkEnd w:id="71"/>
    </w:p>
    <w:p w14:paraId="5B2157DA" w14:textId="2B19676D" w:rsidR="00031010" w:rsidRPr="002F64E6" w:rsidRDefault="00031010" w:rsidP="00031010">
      <w:r w:rsidRPr="002F64E6">
        <w:t xml:space="preserve">Россиянки в прошлом году открыли 3,4 млн ПДС-копилок с помощью </w:t>
      </w:r>
      <w:proofErr w:type="spellStart"/>
      <w:r w:rsidRPr="002F64E6">
        <w:t>СберНПФ</w:t>
      </w:r>
      <w:proofErr w:type="spellEnd"/>
      <w:r w:rsidRPr="002F64E6">
        <w:t xml:space="preserve"> — в два с половиной раза больше, чем в 2024. Они направили в программу 114 млрд рублей личных взносов и перевели в н</w:t>
      </w:r>
      <w:r w:rsidR="00071805" w:rsidRPr="002F64E6">
        <w:t>е</w:t>
      </w:r>
      <w:r w:rsidRPr="002F64E6">
        <w:t xml:space="preserve">ё 50 млрд рублей средств накопительной пенсии. Такой </w:t>
      </w:r>
      <w:r w:rsidR="00E77AB9">
        <w:t>«</w:t>
      </w:r>
      <w:proofErr w:type="spellStart"/>
      <w:r w:rsidRPr="002F64E6">
        <w:t>разморозкой</w:t>
      </w:r>
      <w:proofErr w:type="spellEnd"/>
      <w:r w:rsidR="00E77AB9">
        <w:t>»</w:t>
      </w:r>
      <w:r w:rsidRPr="002F64E6">
        <w:t xml:space="preserve"> воспользовалась каждая десятая участница.</w:t>
      </w:r>
    </w:p>
    <w:p w14:paraId="29342E6C" w14:textId="77777777" w:rsidR="00031010" w:rsidRPr="002F64E6" w:rsidRDefault="00031010" w:rsidP="00031010">
      <w:r w:rsidRPr="002F64E6">
        <w:t>Женщины заключили 70% договоров долгосрочных сбережений, мужчины — 30%. Россиянки вдвое чаще переводят в программу средства накопительной пенсии.</w:t>
      </w:r>
    </w:p>
    <w:p w14:paraId="51E5B21C" w14:textId="77777777" w:rsidR="00031010" w:rsidRPr="002F64E6" w:rsidRDefault="00031010" w:rsidP="00031010">
      <w:r w:rsidRPr="002F64E6">
        <w:t xml:space="preserve">Ольга </w:t>
      </w:r>
      <w:proofErr w:type="spellStart"/>
      <w:r w:rsidRPr="002F64E6">
        <w:t>Изюмова</w:t>
      </w:r>
      <w:proofErr w:type="spellEnd"/>
      <w:r w:rsidRPr="002F64E6">
        <w:t xml:space="preserve">, генеральный директор </w:t>
      </w:r>
      <w:proofErr w:type="spellStart"/>
      <w:r w:rsidRPr="002F64E6">
        <w:t>СберНПФ</w:t>
      </w:r>
      <w:proofErr w:type="spellEnd"/>
      <w:r w:rsidRPr="002F64E6">
        <w:t>:</w:t>
      </w:r>
    </w:p>
    <w:p w14:paraId="73EEC3F2" w14:textId="2D88B6D0" w:rsidR="00031010" w:rsidRPr="002F64E6" w:rsidRDefault="00E77AB9" w:rsidP="00031010">
      <w:r>
        <w:t>«</w:t>
      </w:r>
      <w:r w:rsidR="00031010" w:rsidRPr="002F64E6">
        <w:t xml:space="preserve">Российские женщины привыкли не только всё успевать на работе и дома, но и заботиться о будущем. В 2025 году их средний текущий взнос в программу долгосрочных сбережений в </w:t>
      </w:r>
      <w:proofErr w:type="spellStart"/>
      <w:r w:rsidR="00031010" w:rsidRPr="002F64E6">
        <w:t>СберНПФ</w:t>
      </w:r>
      <w:proofErr w:type="spellEnd"/>
      <w:r w:rsidR="00031010" w:rsidRPr="002F64E6">
        <w:t xml:space="preserve"> составил 6 тысяч рублей. Это на 25% больше, чем годом ранее. Самыми бережливыми оказались жительницы Москвы, Московской области, Краснодарского края, а также Республики Татарстан и Республики Башкортостан. Участницы из этих регионов чаще других делают долгосрочные сбережения с господдержкой и налоговыми льготами</w:t>
      </w:r>
      <w:r>
        <w:t>»</w:t>
      </w:r>
      <w:r w:rsidR="00031010" w:rsidRPr="002F64E6">
        <w:t>.</w:t>
      </w:r>
    </w:p>
    <w:p w14:paraId="5782B010" w14:textId="1B449078" w:rsidR="00B31246" w:rsidRPr="002F64E6" w:rsidRDefault="00B31246" w:rsidP="00031010">
      <w:r w:rsidRPr="002F64E6">
        <w:t>С программой долгосрочных сбережений человек копит на любые цели и получает за это доплату от государства - до 36 тысяч рублей в год в течение десяти лет. При желании на ПДС-счёт можно перевести средства накопительной пенсии. На личные взносы доступен налоговый вычет - до 88 тысяч рублей в год со взносов до 400 тысяч рублей. Сумма возврата зависит от ставки, по которой участник программы платит НДФЛ.</w:t>
      </w:r>
    </w:p>
    <w:p w14:paraId="66E41395" w14:textId="0A80C835" w:rsidR="00031010" w:rsidRPr="002F64E6" w:rsidRDefault="000D71EB" w:rsidP="00031010">
      <w:hyperlink r:id="rId20" w:history="1">
        <w:r w:rsidR="00031010" w:rsidRPr="002F64E6">
          <w:rPr>
            <w:rStyle w:val="a3"/>
          </w:rPr>
          <w:t>https://plusworld.ru/articles/70604/</w:t>
        </w:r>
      </w:hyperlink>
      <w:r w:rsidR="00031010" w:rsidRPr="002F64E6">
        <w:t xml:space="preserve"> </w:t>
      </w:r>
    </w:p>
    <w:p w14:paraId="1B904E5A" w14:textId="77777777" w:rsidR="00FE635F" w:rsidRPr="002F64E6" w:rsidRDefault="00FE635F" w:rsidP="00FE635F">
      <w:pPr>
        <w:pStyle w:val="2"/>
      </w:pPr>
      <w:bookmarkStart w:id="72" w:name="_Toc223591118"/>
      <w:bookmarkEnd w:id="70"/>
      <w:r w:rsidRPr="002F64E6">
        <w:t>Банковское дело, 04.03.2026, Москвички удвоили долгосрочные сбережения</w:t>
      </w:r>
      <w:bookmarkEnd w:id="72"/>
    </w:p>
    <w:p w14:paraId="0A1AA1D3" w14:textId="77777777" w:rsidR="00FE635F" w:rsidRPr="002F64E6" w:rsidRDefault="00FE635F" w:rsidP="003F5B32">
      <w:pPr>
        <w:pStyle w:val="3"/>
      </w:pPr>
      <w:bookmarkStart w:id="73" w:name="_Toc223591119"/>
      <w:r w:rsidRPr="002F64E6">
        <w:t xml:space="preserve">В 2025 году жительницы столицы накопили 17 млрд рублей с программой долгосрочных сбережений (ПДС) в </w:t>
      </w:r>
      <w:proofErr w:type="spellStart"/>
      <w:r w:rsidRPr="002F64E6">
        <w:t>СберНПФ</w:t>
      </w:r>
      <w:proofErr w:type="spellEnd"/>
      <w:r w:rsidRPr="002F64E6">
        <w:t>. Это вдвое больше, чем в 2024 году. При этом москвички на треть повысили среднюю сумму текущего взноса и оказались на первой строчке рейтинга долгосрочных сбережений.</w:t>
      </w:r>
      <w:bookmarkEnd w:id="73"/>
    </w:p>
    <w:p w14:paraId="3ABEC7F0" w14:textId="77777777" w:rsidR="00FE635F" w:rsidRPr="002F64E6" w:rsidRDefault="00FE635F" w:rsidP="00FE635F">
      <w:proofErr w:type="spellStart"/>
      <w:r w:rsidRPr="002F64E6">
        <w:t>Сберегательницы</w:t>
      </w:r>
      <w:proofErr w:type="spellEnd"/>
      <w:r w:rsidRPr="002F64E6">
        <w:t xml:space="preserve"> из Москвы в 2025 году заключили 207 тысяч договоров долгосрочных сбережений в </w:t>
      </w:r>
      <w:proofErr w:type="spellStart"/>
      <w:r w:rsidRPr="002F64E6">
        <w:t>СберНПФ</w:t>
      </w:r>
      <w:proofErr w:type="spellEnd"/>
      <w:r w:rsidRPr="002F64E6">
        <w:t xml:space="preserve"> - в два раза больше, чем годом ранее. Они перечислили на ПДС-счета 9 млрд рублей личных взносов и перевели 8 млрд рублей средств накопительной пенсии. Эту опцию использовала каждая седьмая участница программы из столицы.</w:t>
      </w:r>
    </w:p>
    <w:p w14:paraId="44090313" w14:textId="77777777" w:rsidR="00FE635F" w:rsidRPr="002F64E6" w:rsidRDefault="00FE635F" w:rsidP="00FE635F">
      <w:r w:rsidRPr="002F64E6">
        <w:t xml:space="preserve">Москвички оформили 67% договоров долгосрочных сбережений, москвичи - 33%. Столичные </w:t>
      </w:r>
      <w:proofErr w:type="spellStart"/>
      <w:r w:rsidRPr="002F64E6">
        <w:t>сберегательницы</w:t>
      </w:r>
      <w:proofErr w:type="spellEnd"/>
      <w:r w:rsidRPr="002F64E6">
        <w:t xml:space="preserve"> не только активнее подключают программу, но и в два раза чаще переводят на ПДС-счета средства накопительной пенсии.</w:t>
      </w:r>
    </w:p>
    <w:p w14:paraId="28C7D548" w14:textId="77777777" w:rsidR="00FE635F" w:rsidRPr="002F64E6" w:rsidRDefault="00FE635F" w:rsidP="00FE635F">
      <w:r w:rsidRPr="002F64E6">
        <w:lastRenderedPageBreak/>
        <w:t xml:space="preserve">Герман </w:t>
      </w:r>
      <w:proofErr w:type="spellStart"/>
      <w:r w:rsidRPr="002F64E6">
        <w:t>Барг</w:t>
      </w:r>
      <w:proofErr w:type="spellEnd"/>
      <w:r w:rsidRPr="002F64E6">
        <w:t>, председатель Московского банка Сбербанка:</w:t>
      </w:r>
    </w:p>
    <w:p w14:paraId="154DFBC8" w14:textId="31A87926" w:rsidR="00FE635F" w:rsidRPr="002F64E6" w:rsidRDefault="00E77AB9" w:rsidP="00FE635F">
      <w:r>
        <w:t>«</w:t>
      </w:r>
      <w:r w:rsidR="00FE635F" w:rsidRPr="002F64E6">
        <w:t xml:space="preserve">Москвички живут в многозадачном ритме большого города, но находят время для финансового планирования. В 2025 году они заключили больше всех договоров долгосрочных сбережений в </w:t>
      </w:r>
      <w:proofErr w:type="spellStart"/>
      <w:r w:rsidR="00FE635F" w:rsidRPr="002F64E6">
        <w:t>СберНПФ</w:t>
      </w:r>
      <w:proofErr w:type="spellEnd"/>
      <w:r w:rsidR="00FE635F" w:rsidRPr="002F64E6">
        <w:t>. Благодаря этому Москва оказалась на первой строчке рейтинга самых бережливых регионов. В прошлом году средний текущий взнос москвичек в программу долгосрочных сбережений достиг 8 тысяч рублей. Это на 37% больше, чем годом ранее</w:t>
      </w:r>
      <w:r>
        <w:t>»</w:t>
      </w:r>
      <w:r w:rsidR="00FE635F" w:rsidRPr="002F64E6">
        <w:t>.</w:t>
      </w:r>
    </w:p>
    <w:p w14:paraId="6BC0EC37" w14:textId="77777777" w:rsidR="00FE635F" w:rsidRPr="002F64E6" w:rsidRDefault="00FE635F" w:rsidP="00FE635F">
      <w:r w:rsidRPr="002F64E6">
        <w:t>Программа долгосрочных сбережений (ПДС) помогает москвичам копить на любые цели с господдержкой - до 36 тысяч рублей в год в течение десяти лет. На ПДС-счёт можно также перевести средства накопительной пенсии. За личные взносы в программу можно получить налоговый вычет - до 88 тысяч рублей в год со взносов до 400 тысяч рублей. Сумма, которую получится вернуть, зависит от ставки, по которой участник программы платит НДФЛ.</w:t>
      </w:r>
    </w:p>
    <w:p w14:paraId="6D7693AD" w14:textId="071B3754" w:rsidR="00FE635F" w:rsidRPr="002F64E6" w:rsidRDefault="000D71EB" w:rsidP="00FE635F">
      <w:hyperlink r:id="rId21" w:history="1">
        <w:r w:rsidR="00FE635F" w:rsidRPr="002F64E6">
          <w:rPr>
            <w:rStyle w:val="a3"/>
          </w:rPr>
          <w:t>https://www.bankdelo.ru/fingram/news/pub/13290</w:t>
        </w:r>
      </w:hyperlink>
      <w:r w:rsidR="00FE635F" w:rsidRPr="002F64E6">
        <w:t xml:space="preserve"> </w:t>
      </w:r>
    </w:p>
    <w:p w14:paraId="37F8E145" w14:textId="77777777" w:rsidR="00351092" w:rsidRPr="002F64E6" w:rsidRDefault="00351092" w:rsidP="00351092">
      <w:pPr>
        <w:pStyle w:val="2"/>
      </w:pPr>
      <w:bookmarkStart w:id="74" w:name="_Toc223591120"/>
      <w:proofErr w:type="spellStart"/>
      <w:r w:rsidRPr="002F64E6">
        <w:t>Выберу.ру</w:t>
      </w:r>
      <w:proofErr w:type="spellEnd"/>
      <w:r w:rsidRPr="002F64E6">
        <w:t xml:space="preserve">, 04.03.2026, </w:t>
      </w:r>
      <w:bookmarkStart w:id="75" w:name="_Hlk223521389"/>
      <w:proofErr w:type="gramStart"/>
      <w:r w:rsidRPr="002F64E6">
        <w:t>Как</w:t>
      </w:r>
      <w:proofErr w:type="gramEnd"/>
      <w:r w:rsidRPr="002F64E6">
        <w:t xml:space="preserve"> накопить на пенсию самостоятельно в России — сколько откладывать и куда вложить деньги</w:t>
      </w:r>
      <w:bookmarkEnd w:id="74"/>
    </w:p>
    <w:p w14:paraId="61E6F88B" w14:textId="77777777" w:rsidR="00351092" w:rsidRPr="002F64E6" w:rsidRDefault="00351092" w:rsidP="003F5B32">
      <w:pPr>
        <w:pStyle w:val="3"/>
      </w:pPr>
      <w:bookmarkStart w:id="76" w:name="_Toc223591121"/>
      <w:r w:rsidRPr="002F64E6">
        <w:t>Рассчитывать исключительно на государственную пенсию сложно, её размер сможет покрыть только базовые потребности, и то не всегда. Поэтому разберёмся, как накопить на пенсию самостоятельно. Расскажем об основных способах формирования личного капитала, который позволит сохранить привычный уровень дохода.</w:t>
      </w:r>
      <w:bookmarkEnd w:id="76"/>
    </w:p>
    <w:p w14:paraId="74D9DC96" w14:textId="77777777" w:rsidR="00351092" w:rsidRPr="002F64E6" w:rsidRDefault="00351092" w:rsidP="00351092">
      <w:r w:rsidRPr="002F64E6">
        <w:t>Основной недостаток действующей пенсионной системы — невысокий коэффициент замещения, то есть соотношение будущей государственной пенсии к утраченному заработку. Обычно страховая пенсия не превышает 30–40% от зарплаты, а зачастую ещё меньше. Имея заработную плату в 70 тысяч рублей, на пенсии гражданин будет получать 20–30 тысяч рублей.</w:t>
      </w:r>
    </w:p>
    <w:p w14:paraId="64F05C81" w14:textId="77777777" w:rsidR="00351092" w:rsidRPr="002F64E6" w:rsidRDefault="00351092" w:rsidP="00351092">
      <w:r w:rsidRPr="002F64E6">
        <w:t>Чтобы не рассчитывать только на пенсионный фонд, необходимо заблаговременно определить, как накопить себе на пенсию самостоятельно в России, какие варианты накоплений наиболее эффективны. Важно составить план, что делать, если до пенсии остаётся совсем немного времени, а пенсионный возраст всё ближе.</w:t>
      </w:r>
    </w:p>
    <w:p w14:paraId="74199DFF" w14:textId="77777777" w:rsidR="00351092" w:rsidRPr="002F64E6" w:rsidRDefault="00351092" w:rsidP="00351092">
      <w:r w:rsidRPr="002F64E6">
        <w:t>Как устроена страховая пенсия: баллы, стаж, формула расчёта</w:t>
      </w:r>
    </w:p>
    <w:p w14:paraId="15CF3760" w14:textId="77777777" w:rsidR="00351092" w:rsidRPr="002F64E6" w:rsidRDefault="00351092" w:rsidP="00351092">
      <w:r w:rsidRPr="002F64E6">
        <w:t>Основные условия получения страховой пенсии:</w:t>
      </w:r>
    </w:p>
    <w:p w14:paraId="498C1B8A" w14:textId="77777777" w:rsidR="00351092" w:rsidRPr="002F64E6" w:rsidRDefault="00351092" w:rsidP="00351092">
      <w:r w:rsidRPr="002F64E6">
        <w:t>15 лет трудового стажа;</w:t>
      </w:r>
    </w:p>
    <w:p w14:paraId="1F0969C8" w14:textId="77777777" w:rsidR="00351092" w:rsidRPr="002F64E6" w:rsidRDefault="00351092" w:rsidP="00351092">
      <w:r w:rsidRPr="002F64E6">
        <w:t>30 пенсионных баллов (ИПК);</w:t>
      </w:r>
    </w:p>
    <w:p w14:paraId="472BDFAB" w14:textId="77777777" w:rsidR="00351092" w:rsidRPr="002F64E6" w:rsidRDefault="00351092" w:rsidP="00351092">
      <w:r w:rsidRPr="002F64E6">
        <w:t>достижение пенсионного возраста (60 лет для женщин и 65 для мужчин).</w:t>
      </w:r>
    </w:p>
    <w:p w14:paraId="79307DEE" w14:textId="77777777" w:rsidR="00351092" w:rsidRPr="002F64E6" w:rsidRDefault="00351092" w:rsidP="00351092">
      <w:r w:rsidRPr="002F64E6">
        <w:t>Страховая пенсия рассчитывается по формуле:</w:t>
      </w:r>
    </w:p>
    <w:p w14:paraId="545C195B" w14:textId="77777777" w:rsidR="00351092" w:rsidRPr="002F64E6" w:rsidRDefault="00351092" w:rsidP="00351092">
      <w:r w:rsidRPr="002F64E6">
        <w:t>Размер пенсии = ИПК × стоимость пенсионного балла (в 2026 году — 156,76 руб.) + фиксированная выплата (в 2026 — 9 584,69 руб.)</w:t>
      </w:r>
    </w:p>
    <w:p w14:paraId="6C45A8AC" w14:textId="77777777" w:rsidR="00351092" w:rsidRPr="002F64E6" w:rsidRDefault="00351092" w:rsidP="00351092">
      <w:r w:rsidRPr="002F64E6">
        <w:lastRenderedPageBreak/>
        <w:t>ИПК складывается из пенсионных баллов, которые начисляются за отчисления, сделанные в Социальный фонд России (СФР) с учётом размера заработной платы работодателем или самим будущим пенсионером. Чем выше заработная плата, тем больше баллов можно накопить.</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3647"/>
        <w:gridCol w:w="2978"/>
      </w:tblGrid>
      <w:tr w:rsidR="00351092" w:rsidRPr="00351092" w14:paraId="4104D9DF" w14:textId="77777777">
        <w:trPr>
          <w:tblHeader/>
          <w:tblCellSpacing w:w="15" w:type="dxa"/>
        </w:trPr>
        <w:tc>
          <w:tcPr>
            <w:tcW w:w="0" w:type="auto"/>
            <w:shd w:val="clear" w:color="auto" w:fill="F7F7F7"/>
            <w:vAlign w:val="center"/>
            <w:hideMark/>
          </w:tcPr>
          <w:p w14:paraId="30EDD4BD" w14:textId="77777777" w:rsidR="00351092" w:rsidRPr="00351092" w:rsidRDefault="00351092" w:rsidP="00351092">
            <w:r w:rsidRPr="00351092">
              <w:t>Ежемесячный официальный доход</w:t>
            </w:r>
          </w:p>
        </w:tc>
        <w:tc>
          <w:tcPr>
            <w:tcW w:w="0" w:type="auto"/>
            <w:shd w:val="clear" w:color="auto" w:fill="F7F7F7"/>
            <w:vAlign w:val="center"/>
            <w:hideMark/>
          </w:tcPr>
          <w:p w14:paraId="2F072AE2" w14:textId="77777777" w:rsidR="00351092" w:rsidRPr="00351092" w:rsidRDefault="00351092" w:rsidP="00351092">
            <w:r w:rsidRPr="00351092">
              <w:t>Начисляемые баллы (за год)</w:t>
            </w:r>
          </w:p>
        </w:tc>
      </w:tr>
      <w:tr w:rsidR="00351092" w:rsidRPr="00351092" w14:paraId="48974E99" w14:textId="77777777">
        <w:trPr>
          <w:tblCellSpacing w:w="15" w:type="dxa"/>
        </w:trPr>
        <w:tc>
          <w:tcPr>
            <w:tcW w:w="0" w:type="auto"/>
            <w:shd w:val="clear" w:color="auto" w:fill="F7F7F7"/>
            <w:vAlign w:val="center"/>
            <w:hideMark/>
          </w:tcPr>
          <w:p w14:paraId="72271B92" w14:textId="77777777" w:rsidR="00351092" w:rsidRPr="00351092" w:rsidRDefault="00351092" w:rsidP="00351092">
            <w:r w:rsidRPr="00351092">
              <w:t>25 000 руб.</w:t>
            </w:r>
          </w:p>
        </w:tc>
        <w:tc>
          <w:tcPr>
            <w:tcW w:w="0" w:type="auto"/>
            <w:shd w:val="clear" w:color="auto" w:fill="F7F7F7"/>
            <w:vAlign w:val="center"/>
            <w:hideMark/>
          </w:tcPr>
          <w:p w14:paraId="6159AEE4" w14:textId="77777777" w:rsidR="00351092" w:rsidRPr="00351092" w:rsidRDefault="00351092" w:rsidP="00351092">
            <w:r w:rsidRPr="00351092">
              <w:t>1 балл</w:t>
            </w:r>
          </w:p>
        </w:tc>
      </w:tr>
      <w:tr w:rsidR="00351092" w:rsidRPr="00351092" w14:paraId="33334EF4" w14:textId="77777777">
        <w:trPr>
          <w:tblCellSpacing w:w="15" w:type="dxa"/>
        </w:trPr>
        <w:tc>
          <w:tcPr>
            <w:tcW w:w="0" w:type="auto"/>
            <w:shd w:val="clear" w:color="auto" w:fill="F7F7F7"/>
            <w:vAlign w:val="center"/>
            <w:hideMark/>
          </w:tcPr>
          <w:p w14:paraId="6FAF2164" w14:textId="77777777" w:rsidR="00351092" w:rsidRPr="00351092" w:rsidRDefault="00351092" w:rsidP="00351092">
            <w:r w:rsidRPr="00351092">
              <w:t>~250 000 руб.</w:t>
            </w:r>
          </w:p>
        </w:tc>
        <w:tc>
          <w:tcPr>
            <w:tcW w:w="0" w:type="auto"/>
            <w:shd w:val="clear" w:color="auto" w:fill="F7F7F7"/>
            <w:vAlign w:val="center"/>
            <w:hideMark/>
          </w:tcPr>
          <w:p w14:paraId="2CA0E30E" w14:textId="77777777" w:rsidR="00351092" w:rsidRPr="00351092" w:rsidRDefault="00351092" w:rsidP="00351092">
            <w:r w:rsidRPr="00351092">
              <w:t>10 баллов (максимум)</w:t>
            </w:r>
          </w:p>
        </w:tc>
      </w:tr>
    </w:tbl>
    <w:p w14:paraId="7E20896D" w14:textId="77777777" w:rsidR="00351092" w:rsidRPr="002F64E6" w:rsidRDefault="00351092" w:rsidP="00351092">
      <w:proofErr w:type="spellStart"/>
      <w:r w:rsidRPr="002F64E6">
        <w:t>Самозанятые</w:t>
      </w:r>
      <w:proofErr w:type="spellEnd"/>
      <w:r w:rsidRPr="002F64E6">
        <w:t>, граждане, работающие неофициально, все, кто не делает отчислений в СФР, лишаются возможности накопить баллы и получать социальную пенсию.</w:t>
      </w:r>
    </w:p>
    <w:p w14:paraId="41450E5D" w14:textId="77777777" w:rsidR="00351092" w:rsidRPr="002F64E6" w:rsidRDefault="00351092" w:rsidP="00351092">
      <w:r w:rsidRPr="002F64E6">
        <w:t>Средний размер пенсии в 2025 году и почему этого не хватит</w:t>
      </w:r>
    </w:p>
    <w:p w14:paraId="1144D1B1" w14:textId="77777777" w:rsidR="00351092" w:rsidRPr="002F64E6" w:rsidRDefault="00351092" w:rsidP="00351092">
      <w:r w:rsidRPr="002F64E6">
        <w:t>По данным СФР, на декабрь 2025 года в Российской Федерации на учёте состояло около 40,6 млн пенсионеров; средний размер пенсионного обеспечения — 23,5 тыс. рублей, у многих он не доходит и до 20 тысяч рублей. Величина прожиточного минимума для пенсионеров на 2026 год — в среднем 18 тысяч рублей. В каждом регионе установлен свой минимум.</w:t>
      </w:r>
    </w:p>
    <w:p w14:paraId="182D26DB" w14:textId="77777777" w:rsidR="00351092" w:rsidRPr="002F64E6" w:rsidRDefault="00351092" w:rsidP="00351092">
      <w:r w:rsidRPr="002F64E6">
        <w:t>Если получать только пенсию, пенсионер будет жить на минимальные средства. Государственной социальной пенсии с трудом хватит на оплату ЖКХ, лекарства, минимальную продуктовую корзину.</w:t>
      </w:r>
    </w:p>
    <w:p w14:paraId="173851D7" w14:textId="77777777" w:rsidR="00351092" w:rsidRPr="002F64E6" w:rsidRDefault="00351092" w:rsidP="00351092">
      <w:r w:rsidRPr="002F64E6">
        <w:t>Разберёмся, сколько нужно накопить на пенсию, чтобы созданный капитал стал эффективной поддержкой будущих пенсионеров и смог обеспечить достойную старость.</w:t>
      </w:r>
    </w:p>
    <w:p w14:paraId="66A85402" w14:textId="77777777" w:rsidR="00351092" w:rsidRPr="002F64E6" w:rsidRDefault="00351092" w:rsidP="00351092">
      <w:r w:rsidRPr="002F64E6">
        <w:t>Сколько нужно накопить на пенсию и откладывать ежемесячно</w:t>
      </w:r>
    </w:p>
    <w:p w14:paraId="62ABC5B0" w14:textId="77777777" w:rsidR="00351092" w:rsidRPr="002F64E6" w:rsidRDefault="00351092" w:rsidP="00351092">
      <w:r w:rsidRPr="002F64E6">
        <w:t>Для понимания, сколько нужно откладывать с зарплаты и других доходов, чтобы накопить на пенсию, ответьте на 3 вопроса:</w:t>
      </w:r>
    </w:p>
    <w:p w14:paraId="72CBDF87" w14:textId="77777777" w:rsidR="00351092" w:rsidRPr="002F64E6" w:rsidRDefault="00351092" w:rsidP="00351092">
      <w:r w:rsidRPr="002F64E6">
        <w:t>Какой ежемесячный доход нужен на пенсии?</w:t>
      </w:r>
    </w:p>
    <w:p w14:paraId="124B4225" w14:textId="77777777" w:rsidR="00351092" w:rsidRPr="002F64E6" w:rsidRDefault="00351092" w:rsidP="00351092">
      <w:r w:rsidRPr="002F64E6">
        <w:t>Когда планируется начать тратить пенсионные накопления?</w:t>
      </w:r>
    </w:p>
    <w:p w14:paraId="6C3541E8" w14:textId="77777777" w:rsidR="00351092" w:rsidRPr="002F64E6" w:rsidRDefault="00351092" w:rsidP="00351092">
      <w:r w:rsidRPr="002F64E6">
        <w:t>Будут ли дополнительные источники дохода?</w:t>
      </w:r>
    </w:p>
    <w:p w14:paraId="522E5186" w14:textId="77777777" w:rsidR="00351092" w:rsidRPr="002F64E6" w:rsidRDefault="00351092" w:rsidP="00351092">
      <w:r w:rsidRPr="002F64E6">
        <w:t>Дополнительным доходом может стать арендная плата от сдачи квартиры и т. п.</w:t>
      </w:r>
    </w:p>
    <w:p w14:paraId="55FA5F6A" w14:textId="77777777" w:rsidR="00351092" w:rsidRPr="002F64E6" w:rsidRDefault="00351092" w:rsidP="00351092">
      <w:r w:rsidRPr="002F64E6">
        <w:t>Как рассчитать целевой капитал: правило 4% и горизонт накопления</w:t>
      </w:r>
    </w:p>
    <w:p w14:paraId="012B4844" w14:textId="77777777" w:rsidR="00351092" w:rsidRPr="002F64E6" w:rsidRDefault="00351092" w:rsidP="00351092">
      <w:r w:rsidRPr="002F64E6">
        <w:t xml:space="preserve">Согласно американской теории, разработанной в 1994 году профессором Уильямом </w:t>
      </w:r>
      <w:proofErr w:type="spellStart"/>
      <w:r w:rsidRPr="002F64E6">
        <w:t>Бенгеном</w:t>
      </w:r>
      <w:proofErr w:type="spellEnd"/>
      <w:r w:rsidRPr="002F64E6">
        <w:t>, чтобы жить на капитал, нужно ежегодно забирать из него не более 4%. Тогда накоплений хватит как минимум на 30 лет.</w:t>
      </w:r>
    </w:p>
    <w:p w14:paraId="74801B9C" w14:textId="77777777" w:rsidR="00351092" w:rsidRPr="002F64E6" w:rsidRDefault="00351092" w:rsidP="00351092">
      <w:r w:rsidRPr="002F64E6">
        <w:t>Например, Евгению 35 лет, он планирует уйти на пенсию в 65 лет и создать капитал, которого хватит ещё на 30 лет до 95 лет. Ежемесячно на пенсии Евгений планирует тратить 50 тысяч рублей, то есть 600 тысяч в год.</w:t>
      </w:r>
    </w:p>
    <w:p w14:paraId="71B037BD" w14:textId="77777777" w:rsidR="00351092" w:rsidRPr="002F64E6" w:rsidRDefault="00351092" w:rsidP="00351092">
      <w:r w:rsidRPr="002F64E6">
        <w:t>Капитал = расходы в течение года / 4% × 100% 600 000 / 4% × 100% = 15 млн рублей</w:t>
      </w:r>
    </w:p>
    <w:p w14:paraId="10575403" w14:textId="77777777" w:rsidR="00351092" w:rsidRPr="002F64E6" w:rsidRDefault="00351092" w:rsidP="00351092">
      <w:r w:rsidRPr="002F64E6">
        <w:t>Правило 4% можно использовать для примерного подсчёта, чтобы понять ориентировочный размер будущих накоплений.</w:t>
      </w:r>
    </w:p>
    <w:p w14:paraId="013E9E6E" w14:textId="77777777" w:rsidR="00351092" w:rsidRPr="002F64E6" w:rsidRDefault="00351092" w:rsidP="00351092">
      <w:r w:rsidRPr="002F64E6">
        <w:t>Сколько откладывать с зарплаты: примеры для разного дохода и возраста</w:t>
      </w:r>
    </w:p>
    <w:p w14:paraId="5A50A34C" w14:textId="77777777" w:rsidR="00351092" w:rsidRPr="002F64E6" w:rsidRDefault="00351092" w:rsidP="00351092">
      <w:r w:rsidRPr="002F64E6">
        <w:lastRenderedPageBreak/>
        <w:t>Посчитаем с помощью онлайн-калькулятора сложных процентов, сколько нужно откладывать ежемесячно с зарплаты, чтобы накопить деньги на пенсию в размере, как требуется Евгению из нашего примера. Ему нужно иметь через 30 лет 15 млн рублей:</w:t>
      </w:r>
    </w:p>
    <w:p w14:paraId="6295836F" w14:textId="77777777" w:rsidR="00351092" w:rsidRPr="002F64E6" w:rsidRDefault="00351092" w:rsidP="00351092">
      <w:r w:rsidRPr="002F64E6">
        <w:t>Открываем вклад на 100 000 рублей под 10% годовых с ежемесячной капитализацией.</w:t>
      </w:r>
    </w:p>
    <w:p w14:paraId="1CE0230D" w14:textId="77777777" w:rsidR="00351092" w:rsidRPr="002F64E6" w:rsidRDefault="00351092" w:rsidP="00351092">
      <w:r w:rsidRPr="002F64E6">
        <w:t>Вносим раз в месяц 5 800 рублей.</w:t>
      </w:r>
    </w:p>
    <w:p w14:paraId="5DAD6883" w14:textId="77777777" w:rsidR="00351092" w:rsidRPr="002F64E6" w:rsidRDefault="00351092" w:rsidP="00351092">
      <w:r w:rsidRPr="002F64E6">
        <w:t>Получаем через 30 лет 15 203 827 рублей.</w:t>
      </w:r>
    </w:p>
    <w:p w14:paraId="608F4BAB" w14:textId="77777777" w:rsidR="00351092" w:rsidRPr="002F64E6" w:rsidRDefault="00351092" w:rsidP="00351092">
      <w:r w:rsidRPr="002F64E6">
        <w:t>Это примерный расчёт, но он показывает, каким образом можно достичь поставленной цели. Нужно ещё учитывать уплату налога с доходов по вкладу при превышении лимита.</w:t>
      </w:r>
    </w:p>
    <w:p w14:paraId="7456D667" w14:textId="77777777" w:rsidR="00351092" w:rsidRPr="002F64E6" w:rsidRDefault="00351092" w:rsidP="00351092">
      <w:r w:rsidRPr="002F64E6">
        <w:t>Эффект сложного процента — почему важно начать как можно раньше</w:t>
      </w:r>
    </w:p>
    <w:p w14:paraId="426C3437" w14:textId="77777777" w:rsidR="00351092" w:rsidRPr="002F64E6" w:rsidRDefault="00351092" w:rsidP="00351092">
      <w:r w:rsidRPr="002F64E6">
        <w:t>Главный помощник инвестора — время. Капитализация за счёт начисления процентов на уже полученную прибыль помогает через десятки лет превратить даже небольшие суммы в значительный капитал.</w:t>
      </w:r>
    </w:p>
    <w:p w14:paraId="4C1BF321" w14:textId="77777777" w:rsidR="00351092" w:rsidRPr="002F64E6" w:rsidRDefault="00351092" w:rsidP="00351092">
      <w:r w:rsidRPr="002F64E6">
        <w:t>Начинайте создавать долгосрочные сбережения как можно раньше. Это эффективный способ, как лучше накопить на пенсию самому.</w:t>
      </w:r>
    </w:p>
    <w:p w14:paraId="674B07F6" w14:textId="77777777" w:rsidR="00351092" w:rsidRPr="002F64E6" w:rsidRDefault="00351092" w:rsidP="00351092">
      <w:r w:rsidRPr="002F64E6">
        <w:t>Банковские вклады и накопительные счета</w:t>
      </w:r>
    </w:p>
    <w:p w14:paraId="447D5371" w14:textId="77777777" w:rsidR="00351092" w:rsidRPr="002F64E6" w:rsidRDefault="00351092" w:rsidP="00351092">
      <w:r w:rsidRPr="002F64E6">
        <w:t>Самый простой и надёжный инструмент для создания долгосрочных сбережений — банковские вклады и накопительные счета.</w:t>
      </w:r>
    </w:p>
    <w:p w14:paraId="16F6DF2F" w14:textId="77777777" w:rsidR="00351092" w:rsidRPr="002F64E6" w:rsidRDefault="00351092" w:rsidP="00351092">
      <w:r w:rsidRPr="002F64E6">
        <w:t>Плюсы и минусы депозитов для пенсионных накоплений</w:t>
      </w:r>
    </w:p>
    <w:p w14:paraId="17DCCC58" w14:textId="77777777" w:rsidR="00351092" w:rsidRPr="002F64E6" w:rsidRDefault="00351092" w:rsidP="00351092">
      <w:r w:rsidRPr="002F64E6">
        <w:t>Преимущества открытия депозитов, если цель — накопить на пенсию самостоятельно:</w:t>
      </w:r>
    </w:p>
    <w:p w14:paraId="0C97FD46" w14:textId="77777777" w:rsidR="00351092" w:rsidRPr="002F64E6" w:rsidRDefault="00351092" w:rsidP="00351092">
      <w:r w:rsidRPr="002F64E6">
        <w:t>Высокая надёжность. Вложения подпадают под программу страхования вкладов (до 1,4 млн рублей в одном банке). Средства нужно будет распределять между несколькими банками, чтобы не превысить страховой лимит.</w:t>
      </w:r>
    </w:p>
    <w:p w14:paraId="3DDC2DD6" w14:textId="77777777" w:rsidR="00351092" w:rsidRPr="002F64E6" w:rsidRDefault="00351092" w:rsidP="00351092">
      <w:r w:rsidRPr="002F64E6">
        <w:t>Максимальная доступность. Открыть и контролировать вклад можно полностью онлайн.</w:t>
      </w:r>
    </w:p>
    <w:p w14:paraId="42D7488D" w14:textId="77777777" w:rsidR="00351092" w:rsidRPr="002F64E6" w:rsidRDefault="00351092" w:rsidP="00351092">
      <w:r w:rsidRPr="002F64E6">
        <w:t>Предсказуемость дохода. Ставки по долгосрочным вкладам фиксируются при подписании договора.</w:t>
      </w:r>
    </w:p>
    <w:p w14:paraId="580732F2" w14:textId="77777777" w:rsidR="00351092" w:rsidRPr="002F64E6" w:rsidRDefault="00351092" w:rsidP="00351092">
      <w:r w:rsidRPr="002F64E6">
        <w:t>Основной недостаток — низкая потенциальная доходность.</w:t>
      </w:r>
    </w:p>
    <w:p w14:paraId="273A5312" w14:textId="77777777" w:rsidR="00351092" w:rsidRPr="002F64E6" w:rsidRDefault="00351092" w:rsidP="00351092">
      <w:r w:rsidRPr="002F64E6">
        <w:t>Реальная доходность вкладов с учётом инфляции</w:t>
      </w:r>
    </w:p>
    <w:p w14:paraId="03919543" w14:textId="77777777" w:rsidR="00351092" w:rsidRPr="002F64E6" w:rsidRDefault="00351092" w:rsidP="00351092">
      <w:r w:rsidRPr="002F64E6">
        <w:t>Ставки по вкладам обычно незначительно выше уровня инфляции. Поэтому реальная доходность (доход минус инфляционные потери) обычно не превышает 1–3% годовых. Вклады и накопительные счета можно отнести к инструментам сохранения, а не значительного роста капитала.</w:t>
      </w:r>
    </w:p>
    <w:p w14:paraId="0317D5E7" w14:textId="77777777" w:rsidR="00351092" w:rsidRPr="002F64E6" w:rsidRDefault="00351092" w:rsidP="00351092">
      <w:r w:rsidRPr="002F64E6">
        <w:t xml:space="preserve">Инвестиции в ценные бумаги: акции, облигации, </w:t>
      </w:r>
      <w:proofErr w:type="spellStart"/>
      <w:r w:rsidRPr="002F64E6">
        <w:t>ПИФы</w:t>
      </w:r>
      <w:proofErr w:type="spellEnd"/>
    </w:p>
    <w:p w14:paraId="4475B8FD" w14:textId="77777777" w:rsidR="00351092" w:rsidRPr="002F64E6" w:rsidRDefault="00351092" w:rsidP="00351092">
      <w:r w:rsidRPr="002F64E6">
        <w:t>Фондовый рынок предлагает инвесторам среднюю и высокую доходность, но сопряжённую с рисками. Покупка акций, облигаций, участие в паевых инвестиционных фондах (ПИФ) может принести доход значительно выше инфляции — от 10 до 30% годовых, а то и больше. Но и риски здесь значительнее, чем при открытии вклада. Кроме того, деньги, вложенные в ценные бумаги, не застрахованы.</w:t>
      </w:r>
    </w:p>
    <w:p w14:paraId="734692FB" w14:textId="77777777" w:rsidR="00351092" w:rsidRPr="002F64E6" w:rsidRDefault="00351092" w:rsidP="00351092">
      <w:r w:rsidRPr="002F64E6">
        <w:t>ИИС — индивидуальный инвестиционный счёт для будущих пенсионеров</w:t>
      </w:r>
    </w:p>
    <w:p w14:paraId="7581AC8E" w14:textId="77777777" w:rsidR="00351092" w:rsidRPr="002F64E6" w:rsidRDefault="00351092" w:rsidP="00351092">
      <w:r w:rsidRPr="002F64E6">
        <w:lastRenderedPageBreak/>
        <w:t>Индивидуальный инвестиционный счёт открывается для покупки ценных бумаг. Этот финансовый инструмент подходит для долгосрочных накоплений. Инвесторы, уплачивающие НДФЛ, имеют право на налоговый вычет, что позволяет увеличить потенциальный доход.</w:t>
      </w:r>
    </w:p>
    <w:p w14:paraId="0AC5A9B7" w14:textId="77777777" w:rsidR="00351092" w:rsidRPr="002F64E6" w:rsidRDefault="00351092" w:rsidP="00351092">
      <w:r w:rsidRPr="002F64E6">
        <w:t>Программа долгосрочных сбережений (ПДС) — новый инструмент с господдержкой</w:t>
      </w:r>
    </w:p>
    <w:p w14:paraId="5C0C9B22" w14:textId="77777777" w:rsidR="00351092" w:rsidRPr="002F64E6" w:rsidRDefault="00351092" w:rsidP="00351092">
      <w:r w:rsidRPr="002F64E6">
        <w:t xml:space="preserve">В 2024 году в Российской Федерации появилась Программа долгосрочных сбережений, позволяющая самостоятельно накопить на пенсию и получить государственное </w:t>
      </w:r>
      <w:proofErr w:type="spellStart"/>
      <w:r w:rsidRPr="002F64E6">
        <w:t>софинансирование</w:t>
      </w:r>
      <w:proofErr w:type="spellEnd"/>
      <w:r w:rsidRPr="002F64E6">
        <w:t>. Совместный проект Минфина и ЦБ РФ работает так:</w:t>
      </w:r>
    </w:p>
    <w:p w14:paraId="6AA85665" w14:textId="77777777" w:rsidR="00351092" w:rsidRPr="002F64E6" w:rsidRDefault="00351092" w:rsidP="00351092">
      <w:r w:rsidRPr="002F64E6">
        <w:t>Участник программы переводит на свой счёт деньги.</w:t>
      </w:r>
    </w:p>
    <w:p w14:paraId="570741DF" w14:textId="77777777" w:rsidR="00351092" w:rsidRPr="002F64E6" w:rsidRDefault="00351092" w:rsidP="00351092">
      <w:r w:rsidRPr="002F64E6">
        <w:t>Государство добавляет до 36 тысяч рублей в год по схеме 1 к 1, если доход участника — не более 80 тысяч рублей в месяц, или в другом соотношении, когда доход больше.</w:t>
      </w:r>
    </w:p>
    <w:p w14:paraId="4C76F867" w14:textId="77777777" w:rsidR="00351092" w:rsidRPr="002F64E6" w:rsidRDefault="00351092" w:rsidP="00351092">
      <w:r w:rsidRPr="002F64E6">
        <w:t>Фонд, где участником открыт счёт, инвестирует полученные средства, переводя вкладчику дополнительный доход.</w:t>
      </w:r>
    </w:p>
    <w:p w14:paraId="0B2472F2" w14:textId="77777777" w:rsidR="00351092" w:rsidRPr="002F64E6" w:rsidRDefault="00351092" w:rsidP="00351092">
      <w:r w:rsidRPr="002F64E6">
        <w:t>В ПДС можно перевести накопительную часть пенсии, которая была заморожена. Это будут средства для получения дополнительного дохода.</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2061"/>
        <w:gridCol w:w="7010"/>
      </w:tblGrid>
      <w:tr w:rsidR="002A25A7" w:rsidRPr="002A25A7" w14:paraId="02018B81" w14:textId="77777777">
        <w:trPr>
          <w:tblHeader/>
          <w:tblCellSpacing w:w="15" w:type="dxa"/>
        </w:trPr>
        <w:tc>
          <w:tcPr>
            <w:tcW w:w="0" w:type="auto"/>
            <w:shd w:val="clear" w:color="auto" w:fill="F7F7F7"/>
            <w:vAlign w:val="center"/>
            <w:hideMark/>
          </w:tcPr>
          <w:p w14:paraId="7494D846" w14:textId="77777777" w:rsidR="002A25A7" w:rsidRPr="002A25A7" w:rsidRDefault="002A25A7" w:rsidP="002A25A7">
            <w:r w:rsidRPr="002A25A7">
              <w:t>Параметр</w:t>
            </w:r>
          </w:p>
        </w:tc>
        <w:tc>
          <w:tcPr>
            <w:tcW w:w="0" w:type="auto"/>
            <w:shd w:val="clear" w:color="auto" w:fill="F7F7F7"/>
            <w:vAlign w:val="center"/>
            <w:hideMark/>
          </w:tcPr>
          <w:p w14:paraId="0D39EB38" w14:textId="77777777" w:rsidR="002A25A7" w:rsidRPr="002A25A7" w:rsidRDefault="002A25A7" w:rsidP="002A25A7">
            <w:r w:rsidRPr="002A25A7">
              <w:t>Условия ПДС</w:t>
            </w:r>
          </w:p>
        </w:tc>
      </w:tr>
      <w:tr w:rsidR="002A25A7" w:rsidRPr="002A25A7" w14:paraId="5A652CAB" w14:textId="77777777">
        <w:trPr>
          <w:tblCellSpacing w:w="15" w:type="dxa"/>
        </w:trPr>
        <w:tc>
          <w:tcPr>
            <w:tcW w:w="0" w:type="auto"/>
            <w:shd w:val="clear" w:color="auto" w:fill="F7F7F7"/>
            <w:vAlign w:val="center"/>
            <w:hideMark/>
          </w:tcPr>
          <w:p w14:paraId="10518445" w14:textId="77777777" w:rsidR="002A25A7" w:rsidRPr="002A25A7" w:rsidRDefault="002A25A7" w:rsidP="002A25A7">
            <w:proofErr w:type="spellStart"/>
            <w:r w:rsidRPr="002A25A7">
              <w:t>Софинансирование</w:t>
            </w:r>
            <w:proofErr w:type="spellEnd"/>
          </w:p>
        </w:tc>
        <w:tc>
          <w:tcPr>
            <w:tcW w:w="0" w:type="auto"/>
            <w:shd w:val="clear" w:color="auto" w:fill="F7F7F7"/>
            <w:vAlign w:val="center"/>
            <w:hideMark/>
          </w:tcPr>
          <w:p w14:paraId="224C0B96" w14:textId="77777777" w:rsidR="002A25A7" w:rsidRPr="002A25A7" w:rsidRDefault="002A25A7" w:rsidP="002A25A7">
            <w:r w:rsidRPr="002A25A7">
              <w:t>До 36 000 руб./год (схема 1:1 при доходе до 80 000 руб./мес.)</w:t>
            </w:r>
          </w:p>
        </w:tc>
      </w:tr>
      <w:tr w:rsidR="002A25A7" w:rsidRPr="002A25A7" w14:paraId="487F9BB5" w14:textId="77777777">
        <w:trPr>
          <w:tblCellSpacing w:w="15" w:type="dxa"/>
        </w:trPr>
        <w:tc>
          <w:tcPr>
            <w:tcW w:w="0" w:type="auto"/>
            <w:shd w:val="clear" w:color="auto" w:fill="F7F7F7"/>
            <w:vAlign w:val="center"/>
            <w:hideMark/>
          </w:tcPr>
          <w:p w14:paraId="766F7848" w14:textId="77777777" w:rsidR="002A25A7" w:rsidRPr="002A25A7" w:rsidRDefault="002A25A7" w:rsidP="002A25A7">
            <w:r w:rsidRPr="002A25A7">
              <w:t>Получение средств</w:t>
            </w:r>
          </w:p>
        </w:tc>
        <w:tc>
          <w:tcPr>
            <w:tcW w:w="0" w:type="auto"/>
            <w:shd w:val="clear" w:color="auto" w:fill="F7F7F7"/>
            <w:vAlign w:val="center"/>
            <w:hideMark/>
          </w:tcPr>
          <w:p w14:paraId="2D664C08" w14:textId="77777777" w:rsidR="002A25A7" w:rsidRPr="002A25A7" w:rsidRDefault="002A25A7" w:rsidP="002A25A7">
            <w:r w:rsidRPr="002A25A7">
              <w:t>Через 15 лет участия или по достижении 55 лет (жен.) / 60 лет (муж.)</w:t>
            </w:r>
          </w:p>
        </w:tc>
      </w:tr>
      <w:tr w:rsidR="002A25A7" w:rsidRPr="002A25A7" w14:paraId="480F3C0D" w14:textId="77777777">
        <w:trPr>
          <w:tblCellSpacing w:w="15" w:type="dxa"/>
        </w:trPr>
        <w:tc>
          <w:tcPr>
            <w:tcW w:w="0" w:type="auto"/>
            <w:shd w:val="clear" w:color="auto" w:fill="F7F7F7"/>
            <w:vAlign w:val="center"/>
            <w:hideMark/>
          </w:tcPr>
          <w:p w14:paraId="62854F8F" w14:textId="77777777" w:rsidR="002A25A7" w:rsidRPr="002A25A7" w:rsidRDefault="002A25A7" w:rsidP="002A25A7">
            <w:r w:rsidRPr="002A25A7">
              <w:t>Форма выплаты</w:t>
            </w:r>
          </w:p>
        </w:tc>
        <w:tc>
          <w:tcPr>
            <w:tcW w:w="0" w:type="auto"/>
            <w:shd w:val="clear" w:color="auto" w:fill="F7F7F7"/>
            <w:vAlign w:val="center"/>
            <w:hideMark/>
          </w:tcPr>
          <w:p w14:paraId="2F4A14DD" w14:textId="77777777" w:rsidR="002A25A7" w:rsidRPr="002A25A7" w:rsidRDefault="002A25A7" w:rsidP="002A25A7">
            <w:r w:rsidRPr="002A25A7">
              <w:t>Единовременная или пожизненная</w:t>
            </w:r>
          </w:p>
        </w:tc>
      </w:tr>
      <w:tr w:rsidR="002A25A7" w:rsidRPr="002A25A7" w14:paraId="30861806" w14:textId="77777777">
        <w:trPr>
          <w:tblCellSpacing w:w="15" w:type="dxa"/>
        </w:trPr>
        <w:tc>
          <w:tcPr>
            <w:tcW w:w="0" w:type="auto"/>
            <w:shd w:val="clear" w:color="auto" w:fill="F7F7F7"/>
            <w:vAlign w:val="center"/>
            <w:hideMark/>
          </w:tcPr>
          <w:p w14:paraId="0B7F896E" w14:textId="77777777" w:rsidR="002A25A7" w:rsidRPr="002A25A7" w:rsidRDefault="002A25A7" w:rsidP="002A25A7">
            <w:r w:rsidRPr="002A25A7">
              <w:t>Страхование</w:t>
            </w:r>
          </w:p>
        </w:tc>
        <w:tc>
          <w:tcPr>
            <w:tcW w:w="0" w:type="auto"/>
            <w:shd w:val="clear" w:color="auto" w:fill="F7F7F7"/>
            <w:vAlign w:val="center"/>
            <w:hideMark/>
          </w:tcPr>
          <w:p w14:paraId="36C7F81C" w14:textId="77777777" w:rsidR="002A25A7" w:rsidRPr="002A25A7" w:rsidRDefault="002A25A7" w:rsidP="002A25A7">
            <w:r w:rsidRPr="002A25A7">
              <w:t>До 2,8 млн рублей</w:t>
            </w:r>
          </w:p>
        </w:tc>
      </w:tr>
    </w:tbl>
    <w:p w14:paraId="745A41E3" w14:textId="77777777" w:rsidR="00351092" w:rsidRPr="002F64E6" w:rsidRDefault="00351092" w:rsidP="00351092">
      <w:r w:rsidRPr="002F64E6">
        <w:t>Негосударственные пенсионные фонды (НПФ)</w:t>
      </w:r>
    </w:p>
    <w:p w14:paraId="459EA1BE" w14:textId="77777777" w:rsidR="00351092" w:rsidRPr="002F64E6" w:rsidRDefault="00351092" w:rsidP="00351092">
      <w:r w:rsidRPr="002F64E6">
        <w:t>Заключив договор с негосударственным пенсионным фондом, вы можете как накопить себе на дополнительную пенсию, делая регулярные отчисления, так и перевести туда ранее замороженную накопительную пенсию. НПФ инвестирует средства в ценные бумаги, обеспечивая будущему пенсионеру дополнительный доход. При выходе на пенсию можно оформить пожизненную дополнительную выплату от НПФ или получать доплату в течение определённого срока.</w:t>
      </w:r>
    </w:p>
    <w:p w14:paraId="71AFCEA9" w14:textId="77777777" w:rsidR="00351092" w:rsidRPr="002F64E6" w:rsidRDefault="00351092" w:rsidP="00351092">
      <w:r w:rsidRPr="002F64E6">
        <w:t>Накопительное страхование жизни (НСЖ)</w:t>
      </w:r>
    </w:p>
    <w:p w14:paraId="00982508" w14:textId="77777777" w:rsidR="00351092" w:rsidRPr="002F64E6" w:rsidRDefault="00351092" w:rsidP="00351092">
      <w:r w:rsidRPr="002F64E6">
        <w:t>Программы накопительного страхования жизни — это сочетание страховой защиты и накоплений. Здесь можно как накопить на старость (пенсию), так и застраховать свою жизнь. В течение срока, определённого договором, участник программы НСЖ платит взносы в страховую компанию. По окончании действия договора вкладчику возвращают все внесённые средства плюс инвестиционный доход.</w:t>
      </w:r>
    </w:p>
    <w:p w14:paraId="67D14C4A" w14:textId="77777777" w:rsidR="00351092" w:rsidRPr="002F64E6" w:rsidRDefault="00351092" w:rsidP="00351092">
      <w:r w:rsidRPr="002F64E6">
        <w:t>Срок выплаты указывается в договоре. Если происходит страховой случай, компания выплачивает родственникам полную страховую сумму. Накопительное страхование подходит тем, кто хочет создать капитал и защитить свою семью.</w:t>
      </w:r>
    </w:p>
    <w:p w14:paraId="6368AF6A" w14:textId="77777777" w:rsidR="00351092" w:rsidRPr="002F64E6" w:rsidRDefault="00351092" w:rsidP="00351092">
      <w:r w:rsidRPr="002F64E6">
        <w:t>Золото и драгоценные металлы</w:t>
      </w:r>
    </w:p>
    <w:p w14:paraId="421E5677" w14:textId="77777777" w:rsidR="00351092" w:rsidRPr="002F64E6" w:rsidRDefault="00351092" w:rsidP="00351092">
      <w:r w:rsidRPr="002F64E6">
        <w:lastRenderedPageBreak/>
        <w:t>Драгоценные металлы — традиционный защитный финансовый инструмент. Вложения в золото защищают капитал от девальвации рубля, глобальных экономических кризисов, инфляции. Чтобы накопить на пенсию, можно как приобрести золотые слитки, монеты, так и открыть обезличенный металлический счёт (ОМС).</w:t>
      </w:r>
    </w:p>
    <w:p w14:paraId="20E7EEB8" w14:textId="77777777" w:rsidR="00351092" w:rsidRPr="002F64E6" w:rsidRDefault="00351092" w:rsidP="00351092">
      <w:r w:rsidRPr="002F64E6">
        <w:t>Доходность золота за последние годы очень высокая, может превышать 20% годовых, но и волатильность здесь значительная. Получить доход можно только за счёт роста цен на драгметаллы. ОМС не подпадают под программу страхования вкладов.</w:t>
      </w:r>
    </w:p>
    <w:p w14:paraId="7CBDDA5D" w14:textId="77777777" w:rsidR="00351092" w:rsidRPr="002F64E6" w:rsidRDefault="00351092" w:rsidP="00351092">
      <w:r w:rsidRPr="002F64E6">
        <w:t>Недвижимость как источник пенсионного дохода</w:t>
      </w:r>
    </w:p>
    <w:p w14:paraId="1A6F139B" w14:textId="77777777" w:rsidR="00351092" w:rsidRPr="002F64E6" w:rsidRDefault="00351092" w:rsidP="00351092">
      <w:r w:rsidRPr="002F64E6">
        <w:t>Покупка недвижимости для сдачи в аренду — понятный и надёжный способ, чтобы обеспечить дополнительный доход. Обычно это от 4 до 7% годовых плюс рост цен на саму недвижимость.</w:t>
      </w:r>
    </w:p>
    <w:p w14:paraId="324FD17D" w14:textId="77777777" w:rsidR="00351092" w:rsidRPr="002F64E6" w:rsidRDefault="00351092" w:rsidP="00351092">
      <w:r w:rsidRPr="002F64E6">
        <w:t>Минусы финансового инструмента: сложно быстро продать объект, высокий порог входа, необходимость управлять недвижимостью (ремонт, сдача в аренду).</w:t>
      </w:r>
    </w:p>
    <w:p w14:paraId="00DED317" w14:textId="5CA678C8" w:rsidR="002A25A7" w:rsidRPr="002F64E6" w:rsidRDefault="002A25A7" w:rsidP="00351092">
      <w:r w:rsidRPr="002F64E6">
        <w:t>Сравнение финансовых инструментов для накопления на пенсию</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917"/>
        <w:gridCol w:w="3586"/>
        <w:gridCol w:w="982"/>
        <w:gridCol w:w="1923"/>
      </w:tblGrid>
      <w:tr w:rsidR="002A25A7" w:rsidRPr="002A25A7" w14:paraId="6ECDCFBA" w14:textId="77777777">
        <w:trPr>
          <w:tblHeader/>
          <w:tblCellSpacing w:w="15" w:type="dxa"/>
        </w:trPr>
        <w:tc>
          <w:tcPr>
            <w:tcW w:w="0" w:type="auto"/>
            <w:shd w:val="clear" w:color="auto" w:fill="F7F7F7"/>
            <w:vAlign w:val="center"/>
            <w:hideMark/>
          </w:tcPr>
          <w:p w14:paraId="5A458A24" w14:textId="77777777" w:rsidR="002A25A7" w:rsidRPr="002A25A7" w:rsidRDefault="002A25A7" w:rsidP="002A25A7">
            <w:r w:rsidRPr="002A25A7">
              <w:t>Инструмент</w:t>
            </w:r>
          </w:p>
        </w:tc>
        <w:tc>
          <w:tcPr>
            <w:tcW w:w="0" w:type="auto"/>
            <w:shd w:val="clear" w:color="auto" w:fill="F7F7F7"/>
            <w:vAlign w:val="center"/>
            <w:hideMark/>
          </w:tcPr>
          <w:p w14:paraId="38D16F87" w14:textId="77777777" w:rsidR="002A25A7" w:rsidRPr="002A25A7" w:rsidRDefault="002A25A7" w:rsidP="002A25A7">
            <w:r w:rsidRPr="002A25A7">
              <w:t>Доходность</w:t>
            </w:r>
          </w:p>
        </w:tc>
        <w:tc>
          <w:tcPr>
            <w:tcW w:w="0" w:type="auto"/>
            <w:shd w:val="clear" w:color="auto" w:fill="F7F7F7"/>
            <w:vAlign w:val="center"/>
            <w:hideMark/>
          </w:tcPr>
          <w:p w14:paraId="55B06FD3" w14:textId="77777777" w:rsidR="002A25A7" w:rsidRPr="002A25A7" w:rsidRDefault="002A25A7" w:rsidP="002A25A7">
            <w:r w:rsidRPr="002A25A7">
              <w:t>Риск</w:t>
            </w:r>
          </w:p>
        </w:tc>
        <w:tc>
          <w:tcPr>
            <w:tcW w:w="0" w:type="auto"/>
            <w:shd w:val="clear" w:color="auto" w:fill="F7F7F7"/>
            <w:vAlign w:val="center"/>
            <w:hideMark/>
          </w:tcPr>
          <w:p w14:paraId="6CBECD10" w14:textId="77777777" w:rsidR="002A25A7" w:rsidRPr="002A25A7" w:rsidRDefault="002A25A7" w:rsidP="002A25A7">
            <w:r w:rsidRPr="002A25A7">
              <w:t>Страхование</w:t>
            </w:r>
          </w:p>
        </w:tc>
      </w:tr>
      <w:tr w:rsidR="002A25A7" w:rsidRPr="002A25A7" w14:paraId="12E7F21C" w14:textId="77777777">
        <w:trPr>
          <w:tblCellSpacing w:w="15" w:type="dxa"/>
        </w:trPr>
        <w:tc>
          <w:tcPr>
            <w:tcW w:w="0" w:type="auto"/>
            <w:shd w:val="clear" w:color="auto" w:fill="F7F7F7"/>
            <w:vAlign w:val="center"/>
            <w:hideMark/>
          </w:tcPr>
          <w:p w14:paraId="68A70895" w14:textId="77777777" w:rsidR="002A25A7" w:rsidRPr="002A25A7" w:rsidRDefault="002A25A7" w:rsidP="002A25A7">
            <w:r w:rsidRPr="002A25A7">
              <w:t>Банковский вклад</w:t>
            </w:r>
          </w:p>
        </w:tc>
        <w:tc>
          <w:tcPr>
            <w:tcW w:w="0" w:type="auto"/>
            <w:shd w:val="clear" w:color="auto" w:fill="F7F7F7"/>
            <w:vAlign w:val="center"/>
            <w:hideMark/>
          </w:tcPr>
          <w:p w14:paraId="6B011943" w14:textId="77777777" w:rsidR="002A25A7" w:rsidRPr="002A25A7" w:rsidRDefault="002A25A7" w:rsidP="002A25A7">
            <w:r w:rsidRPr="002A25A7">
              <w:t>1–3% реальных</w:t>
            </w:r>
          </w:p>
        </w:tc>
        <w:tc>
          <w:tcPr>
            <w:tcW w:w="0" w:type="auto"/>
            <w:shd w:val="clear" w:color="auto" w:fill="F7F7F7"/>
            <w:vAlign w:val="center"/>
            <w:hideMark/>
          </w:tcPr>
          <w:p w14:paraId="24331714" w14:textId="77777777" w:rsidR="002A25A7" w:rsidRPr="002A25A7" w:rsidRDefault="002A25A7" w:rsidP="002A25A7">
            <w:r w:rsidRPr="002A25A7">
              <w:t>Низкий</w:t>
            </w:r>
          </w:p>
        </w:tc>
        <w:tc>
          <w:tcPr>
            <w:tcW w:w="0" w:type="auto"/>
            <w:shd w:val="clear" w:color="auto" w:fill="F7F7F7"/>
            <w:vAlign w:val="center"/>
            <w:hideMark/>
          </w:tcPr>
          <w:p w14:paraId="570917EE" w14:textId="77777777" w:rsidR="002A25A7" w:rsidRPr="002A25A7" w:rsidRDefault="002A25A7" w:rsidP="002A25A7">
            <w:r w:rsidRPr="002A25A7">
              <w:t>До 1,4 млн руб.</w:t>
            </w:r>
          </w:p>
        </w:tc>
      </w:tr>
      <w:tr w:rsidR="002A25A7" w:rsidRPr="002A25A7" w14:paraId="759BD4CE" w14:textId="77777777">
        <w:trPr>
          <w:tblCellSpacing w:w="15" w:type="dxa"/>
        </w:trPr>
        <w:tc>
          <w:tcPr>
            <w:tcW w:w="0" w:type="auto"/>
            <w:shd w:val="clear" w:color="auto" w:fill="F7F7F7"/>
            <w:vAlign w:val="center"/>
            <w:hideMark/>
          </w:tcPr>
          <w:p w14:paraId="673FDE2E" w14:textId="77777777" w:rsidR="002A25A7" w:rsidRPr="002A25A7" w:rsidRDefault="002A25A7" w:rsidP="002A25A7">
            <w:r w:rsidRPr="002A25A7">
              <w:t xml:space="preserve">Акции / </w:t>
            </w:r>
            <w:proofErr w:type="spellStart"/>
            <w:r w:rsidRPr="002A25A7">
              <w:t>ПИФы</w:t>
            </w:r>
            <w:proofErr w:type="spellEnd"/>
          </w:p>
        </w:tc>
        <w:tc>
          <w:tcPr>
            <w:tcW w:w="0" w:type="auto"/>
            <w:shd w:val="clear" w:color="auto" w:fill="F7F7F7"/>
            <w:vAlign w:val="center"/>
            <w:hideMark/>
          </w:tcPr>
          <w:p w14:paraId="183B8BE4" w14:textId="77777777" w:rsidR="002A25A7" w:rsidRPr="002A25A7" w:rsidRDefault="002A25A7" w:rsidP="002A25A7">
            <w:r w:rsidRPr="002A25A7">
              <w:t>10–30%</w:t>
            </w:r>
          </w:p>
        </w:tc>
        <w:tc>
          <w:tcPr>
            <w:tcW w:w="0" w:type="auto"/>
            <w:shd w:val="clear" w:color="auto" w:fill="F7F7F7"/>
            <w:vAlign w:val="center"/>
            <w:hideMark/>
          </w:tcPr>
          <w:p w14:paraId="3F726300" w14:textId="77777777" w:rsidR="002A25A7" w:rsidRPr="002A25A7" w:rsidRDefault="002A25A7" w:rsidP="002A25A7">
            <w:r w:rsidRPr="002A25A7">
              <w:t>Высокий</w:t>
            </w:r>
          </w:p>
        </w:tc>
        <w:tc>
          <w:tcPr>
            <w:tcW w:w="0" w:type="auto"/>
            <w:shd w:val="clear" w:color="auto" w:fill="F7F7F7"/>
            <w:vAlign w:val="center"/>
            <w:hideMark/>
          </w:tcPr>
          <w:p w14:paraId="224CC12E" w14:textId="77777777" w:rsidR="002A25A7" w:rsidRPr="002A25A7" w:rsidRDefault="002A25A7" w:rsidP="002A25A7">
            <w:r w:rsidRPr="002A25A7">
              <w:t>Нет</w:t>
            </w:r>
          </w:p>
        </w:tc>
      </w:tr>
      <w:tr w:rsidR="002A25A7" w:rsidRPr="002A25A7" w14:paraId="350AA6DA" w14:textId="77777777">
        <w:trPr>
          <w:tblCellSpacing w:w="15" w:type="dxa"/>
        </w:trPr>
        <w:tc>
          <w:tcPr>
            <w:tcW w:w="0" w:type="auto"/>
            <w:shd w:val="clear" w:color="auto" w:fill="F7F7F7"/>
            <w:vAlign w:val="center"/>
            <w:hideMark/>
          </w:tcPr>
          <w:p w14:paraId="763FCD88" w14:textId="77777777" w:rsidR="002A25A7" w:rsidRPr="002A25A7" w:rsidRDefault="002A25A7" w:rsidP="002A25A7">
            <w:r w:rsidRPr="002A25A7">
              <w:t>Облигации</w:t>
            </w:r>
          </w:p>
        </w:tc>
        <w:tc>
          <w:tcPr>
            <w:tcW w:w="0" w:type="auto"/>
            <w:shd w:val="clear" w:color="auto" w:fill="F7F7F7"/>
            <w:vAlign w:val="center"/>
            <w:hideMark/>
          </w:tcPr>
          <w:p w14:paraId="08BCCD6D" w14:textId="77777777" w:rsidR="002A25A7" w:rsidRPr="002A25A7" w:rsidRDefault="002A25A7" w:rsidP="002A25A7">
            <w:r w:rsidRPr="002A25A7">
              <w:t>Средняя</w:t>
            </w:r>
          </w:p>
        </w:tc>
        <w:tc>
          <w:tcPr>
            <w:tcW w:w="0" w:type="auto"/>
            <w:shd w:val="clear" w:color="auto" w:fill="F7F7F7"/>
            <w:vAlign w:val="center"/>
            <w:hideMark/>
          </w:tcPr>
          <w:p w14:paraId="4E217B2E" w14:textId="77777777" w:rsidR="002A25A7" w:rsidRPr="002A25A7" w:rsidRDefault="002A25A7" w:rsidP="002A25A7">
            <w:r w:rsidRPr="002A25A7">
              <w:t>Средний</w:t>
            </w:r>
          </w:p>
        </w:tc>
        <w:tc>
          <w:tcPr>
            <w:tcW w:w="0" w:type="auto"/>
            <w:shd w:val="clear" w:color="auto" w:fill="F7F7F7"/>
            <w:vAlign w:val="center"/>
            <w:hideMark/>
          </w:tcPr>
          <w:p w14:paraId="757F7078" w14:textId="77777777" w:rsidR="002A25A7" w:rsidRPr="002A25A7" w:rsidRDefault="002A25A7" w:rsidP="002A25A7">
            <w:r w:rsidRPr="002A25A7">
              <w:t>Нет</w:t>
            </w:r>
          </w:p>
        </w:tc>
      </w:tr>
      <w:tr w:rsidR="002A25A7" w:rsidRPr="002A25A7" w14:paraId="3B52688F" w14:textId="77777777">
        <w:trPr>
          <w:tblCellSpacing w:w="15" w:type="dxa"/>
        </w:trPr>
        <w:tc>
          <w:tcPr>
            <w:tcW w:w="0" w:type="auto"/>
            <w:shd w:val="clear" w:color="auto" w:fill="F7F7F7"/>
            <w:vAlign w:val="center"/>
            <w:hideMark/>
          </w:tcPr>
          <w:p w14:paraId="74AFCB64" w14:textId="77777777" w:rsidR="002A25A7" w:rsidRPr="002A25A7" w:rsidRDefault="002A25A7" w:rsidP="002A25A7">
            <w:r w:rsidRPr="002A25A7">
              <w:t>ИИС</w:t>
            </w:r>
          </w:p>
        </w:tc>
        <w:tc>
          <w:tcPr>
            <w:tcW w:w="0" w:type="auto"/>
            <w:shd w:val="clear" w:color="auto" w:fill="F7F7F7"/>
            <w:vAlign w:val="center"/>
            <w:hideMark/>
          </w:tcPr>
          <w:p w14:paraId="171A9F23" w14:textId="77777777" w:rsidR="002A25A7" w:rsidRPr="002A25A7" w:rsidRDefault="002A25A7" w:rsidP="002A25A7">
            <w:r w:rsidRPr="002A25A7">
              <w:t>Зависит от активов + вычет</w:t>
            </w:r>
          </w:p>
        </w:tc>
        <w:tc>
          <w:tcPr>
            <w:tcW w:w="0" w:type="auto"/>
            <w:shd w:val="clear" w:color="auto" w:fill="F7F7F7"/>
            <w:vAlign w:val="center"/>
            <w:hideMark/>
          </w:tcPr>
          <w:p w14:paraId="7357B317" w14:textId="77777777" w:rsidR="002A25A7" w:rsidRPr="002A25A7" w:rsidRDefault="002A25A7" w:rsidP="002A25A7">
            <w:r w:rsidRPr="002A25A7">
              <w:t>Средний</w:t>
            </w:r>
          </w:p>
        </w:tc>
        <w:tc>
          <w:tcPr>
            <w:tcW w:w="0" w:type="auto"/>
            <w:shd w:val="clear" w:color="auto" w:fill="F7F7F7"/>
            <w:vAlign w:val="center"/>
            <w:hideMark/>
          </w:tcPr>
          <w:p w14:paraId="067E6E19" w14:textId="77777777" w:rsidR="002A25A7" w:rsidRPr="002A25A7" w:rsidRDefault="002A25A7" w:rsidP="002A25A7">
            <w:r w:rsidRPr="002A25A7">
              <w:t>Нет</w:t>
            </w:r>
          </w:p>
        </w:tc>
      </w:tr>
      <w:tr w:rsidR="002A25A7" w:rsidRPr="002A25A7" w14:paraId="2DA1C565" w14:textId="77777777">
        <w:trPr>
          <w:tblCellSpacing w:w="15" w:type="dxa"/>
        </w:trPr>
        <w:tc>
          <w:tcPr>
            <w:tcW w:w="0" w:type="auto"/>
            <w:shd w:val="clear" w:color="auto" w:fill="F7F7F7"/>
            <w:vAlign w:val="center"/>
            <w:hideMark/>
          </w:tcPr>
          <w:p w14:paraId="6382079F" w14:textId="77777777" w:rsidR="002A25A7" w:rsidRPr="002A25A7" w:rsidRDefault="002A25A7" w:rsidP="002A25A7">
            <w:r w:rsidRPr="002A25A7">
              <w:t>ПДС</w:t>
            </w:r>
          </w:p>
        </w:tc>
        <w:tc>
          <w:tcPr>
            <w:tcW w:w="0" w:type="auto"/>
            <w:shd w:val="clear" w:color="auto" w:fill="F7F7F7"/>
            <w:vAlign w:val="center"/>
            <w:hideMark/>
          </w:tcPr>
          <w:p w14:paraId="0E6B3828" w14:textId="77777777" w:rsidR="002A25A7" w:rsidRPr="002A25A7" w:rsidRDefault="002A25A7" w:rsidP="002A25A7">
            <w:r w:rsidRPr="002A25A7">
              <w:t xml:space="preserve">Доход фонда + </w:t>
            </w:r>
            <w:proofErr w:type="spellStart"/>
            <w:r w:rsidRPr="002A25A7">
              <w:t>софинансирование</w:t>
            </w:r>
            <w:proofErr w:type="spellEnd"/>
          </w:p>
        </w:tc>
        <w:tc>
          <w:tcPr>
            <w:tcW w:w="0" w:type="auto"/>
            <w:shd w:val="clear" w:color="auto" w:fill="F7F7F7"/>
            <w:vAlign w:val="center"/>
            <w:hideMark/>
          </w:tcPr>
          <w:p w14:paraId="4255FE65" w14:textId="77777777" w:rsidR="002A25A7" w:rsidRPr="002A25A7" w:rsidRDefault="002A25A7" w:rsidP="002A25A7">
            <w:r w:rsidRPr="002A25A7">
              <w:t>Низкий</w:t>
            </w:r>
          </w:p>
        </w:tc>
        <w:tc>
          <w:tcPr>
            <w:tcW w:w="0" w:type="auto"/>
            <w:shd w:val="clear" w:color="auto" w:fill="F7F7F7"/>
            <w:vAlign w:val="center"/>
            <w:hideMark/>
          </w:tcPr>
          <w:p w14:paraId="780D3471" w14:textId="77777777" w:rsidR="002A25A7" w:rsidRPr="002A25A7" w:rsidRDefault="002A25A7" w:rsidP="002A25A7">
            <w:r w:rsidRPr="002A25A7">
              <w:t>До 2,8 млн руб.</w:t>
            </w:r>
          </w:p>
        </w:tc>
      </w:tr>
      <w:tr w:rsidR="002A25A7" w:rsidRPr="002A25A7" w14:paraId="45D9993A" w14:textId="77777777">
        <w:trPr>
          <w:tblCellSpacing w:w="15" w:type="dxa"/>
        </w:trPr>
        <w:tc>
          <w:tcPr>
            <w:tcW w:w="0" w:type="auto"/>
            <w:shd w:val="clear" w:color="auto" w:fill="F7F7F7"/>
            <w:vAlign w:val="center"/>
            <w:hideMark/>
          </w:tcPr>
          <w:p w14:paraId="321E6E5D" w14:textId="77777777" w:rsidR="002A25A7" w:rsidRPr="002A25A7" w:rsidRDefault="002A25A7" w:rsidP="002A25A7">
            <w:r w:rsidRPr="002A25A7">
              <w:t>НПФ</w:t>
            </w:r>
          </w:p>
        </w:tc>
        <w:tc>
          <w:tcPr>
            <w:tcW w:w="0" w:type="auto"/>
            <w:shd w:val="clear" w:color="auto" w:fill="F7F7F7"/>
            <w:vAlign w:val="center"/>
            <w:hideMark/>
          </w:tcPr>
          <w:p w14:paraId="547CA1E0" w14:textId="77777777" w:rsidR="002A25A7" w:rsidRPr="002A25A7" w:rsidRDefault="002A25A7" w:rsidP="002A25A7">
            <w:r w:rsidRPr="002A25A7">
              <w:t>Зависит от фонда</w:t>
            </w:r>
          </w:p>
        </w:tc>
        <w:tc>
          <w:tcPr>
            <w:tcW w:w="0" w:type="auto"/>
            <w:shd w:val="clear" w:color="auto" w:fill="F7F7F7"/>
            <w:vAlign w:val="center"/>
            <w:hideMark/>
          </w:tcPr>
          <w:p w14:paraId="4C5B0224" w14:textId="77777777" w:rsidR="002A25A7" w:rsidRPr="002A25A7" w:rsidRDefault="002A25A7" w:rsidP="002A25A7">
            <w:r w:rsidRPr="002A25A7">
              <w:t>Средний</w:t>
            </w:r>
          </w:p>
        </w:tc>
        <w:tc>
          <w:tcPr>
            <w:tcW w:w="0" w:type="auto"/>
            <w:shd w:val="clear" w:color="auto" w:fill="F7F7F7"/>
            <w:vAlign w:val="center"/>
            <w:hideMark/>
          </w:tcPr>
          <w:p w14:paraId="5A6DEAE7" w14:textId="77777777" w:rsidR="002A25A7" w:rsidRPr="002A25A7" w:rsidRDefault="002A25A7" w:rsidP="002A25A7">
            <w:r w:rsidRPr="002A25A7">
              <w:t>До 2,8 млн руб.</w:t>
            </w:r>
          </w:p>
        </w:tc>
      </w:tr>
      <w:tr w:rsidR="002A25A7" w:rsidRPr="002A25A7" w14:paraId="08BDEA64" w14:textId="77777777">
        <w:trPr>
          <w:tblCellSpacing w:w="15" w:type="dxa"/>
        </w:trPr>
        <w:tc>
          <w:tcPr>
            <w:tcW w:w="0" w:type="auto"/>
            <w:shd w:val="clear" w:color="auto" w:fill="F7F7F7"/>
            <w:vAlign w:val="center"/>
            <w:hideMark/>
          </w:tcPr>
          <w:p w14:paraId="47D822D5" w14:textId="77777777" w:rsidR="002A25A7" w:rsidRPr="002A25A7" w:rsidRDefault="002A25A7" w:rsidP="002A25A7">
            <w:r w:rsidRPr="002A25A7">
              <w:t>НСЖ</w:t>
            </w:r>
          </w:p>
        </w:tc>
        <w:tc>
          <w:tcPr>
            <w:tcW w:w="0" w:type="auto"/>
            <w:shd w:val="clear" w:color="auto" w:fill="F7F7F7"/>
            <w:vAlign w:val="center"/>
            <w:hideMark/>
          </w:tcPr>
          <w:p w14:paraId="49BD1A46" w14:textId="77777777" w:rsidR="002A25A7" w:rsidRPr="002A25A7" w:rsidRDefault="002A25A7" w:rsidP="002A25A7">
            <w:r w:rsidRPr="002A25A7">
              <w:t>Низкая–средняя</w:t>
            </w:r>
          </w:p>
        </w:tc>
        <w:tc>
          <w:tcPr>
            <w:tcW w:w="0" w:type="auto"/>
            <w:shd w:val="clear" w:color="auto" w:fill="F7F7F7"/>
            <w:vAlign w:val="center"/>
            <w:hideMark/>
          </w:tcPr>
          <w:p w14:paraId="76A5C18C" w14:textId="77777777" w:rsidR="002A25A7" w:rsidRPr="002A25A7" w:rsidRDefault="002A25A7" w:rsidP="002A25A7">
            <w:r w:rsidRPr="002A25A7">
              <w:t>Низкий</w:t>
            </w:r>
          </w:p>
        </w:tc>
        <w:tc>
          <w:tcPr>
            <w:tcW w:w="0" w:type="auto"/>
            <w:shd w:val="clear" w:color="auto" w:fill="F7F7F7"/>
            <w:vAlign w:val="center"/>
            <w:hideMark/>
          </w:tcPr>
          <w:p w14:paraId="4FFF1B0F" w14:textId="77777777" w:rsidR="002A25A7" w:rsidRPr="002A25A7" w:rsidRDefault="002A25A7" w:rsidP="002A25A7">
            <w:r w:rsidRPr="002A25A7">
              <w:t>Страховая защита</w:t>
            </w:r>
          </w:p>
        </w:tc>
      </w:tr>
      <w:tr w:rsidR="002A25A7" w:rsidRPr="002A25A7" w14:paraId="718414C8" w14:textId="77777777">
        <w:trPr>
          <w:tblCellSpacing w:w="15" w:type="dxa"/>
        </w:trPr>
        <w:tc>
          <w:tcPr>
            <w:tcW w:w="0" w:type="auto"/>
            <w:shd w:val="clear" w:color="auto" w:fill="F7F7F7"/>
            <w:vAlign w:val="center"/>
            <w:hideMark/>
          </w:tcPr>
          <w:p w14:paraId="78D5ACEE" w14:textId="77777777" w:rsidR="002A25A7" w:rsidRPr="002A25A7" w:rsidRDefault="002A25A7" w:rsidP="002A25A7">
            <w:r w:rsidRPr="002A25A7">
              <w:t>Золото / ОМС</w:t>
            </w:r>
          </w:p>
        </w:tc>
        <w:tc>
          <w:tcPr>
            <w:tcW w:w="0" w:type="auto"/>
            <w:shd w:val="clear" w:color="auto" w:fill="F7F7F7"/>
            <w:vAlign w:val="center"/>
            <w:hideMark/>
          </w:tcPr>
          <w:p w14:paraId="385825EA" w14:textId="77777777" w:rsidR="002A25A7" w:rsidRPr="002A25A7" w:rsidRDefault="002A25A7" w:rsidP="002A25A7">
            <w:r w:rsidRPr="002A25A7">
              <w:t>Высокая (</w:t>
            </w:r>
            <w:proofErr w:type="spellStart"/>
            <w:r w:rsidRPr="002A25A7">
              <w:t>волатильная</w:t>
            </w:r>
            <w:proofErr w:type="spellEnd"/>
            <w:r w:rsidRPr="002A25A7">
              <w:t>)</w:t>
            </w:r>
          </w:p>
        </w:tc>
        <w:tc>
          <w:tcPr>
            <w:tcW w:w="0" w:type="auto"/>
            <w:shd w:val="clear" w:color="auto" w:fill="F7F7F7"/>
            <w:vAlign w:val="center"/>
            <w:hideMark/>
          </w:tcPr>
          <w:p w14:paraId="28B35ACD" w14:textId="77777777" w:rsidR="002A25A7" w:rsidRPr="002A25A7" w:rsidRDefault="002A25A7" w:rsidP="002A25A7">
            <w:r w:rsidRPr="002A25A7">
              <w:t>Средний</w:t>
            </w:r>
          </w:p>
        </w:tc>
        <w:tc>
          <w:tcPr>
            <w:tcW w:w="0" w:type="auto"/>
            <w:shd w:val="clear" w:color="auto" w:fill="F7F7F7"/>
            <w:vAlign w:val="center"/>
            <w:hideMark/>
          </w:tcPr>
          <w:p w14:paraId="03AF2752" w14:textId="77777777" w:rsidR="002A25A7" w:rsidRPr="002A25A7" w:rsidRDefault="002A25A7" w:rsidP="002A25A7">
            <w:r w:rsidRPr="002A25A7">
              <w:t>Нет (ОМС)</w:t>
            </w:r>
          </w:p>
        </w:tc>
      </w:tr>
      <w:tr w:rsidR="002A25A7" w:rsidRPr="002A25A7" w14:paraId="11824295" w14:textId="77777777">
        <w:trPr>
          <w:tblCellSpacing w:w="15" w:type="dxa"/>
        </w:trPr>
        <w:tc>
          <w:tcPr>
            <w:tcW w:w="0" w:type="auto"/>
            <w:shd w:val="clear" w:color="auto" w:fill="F7F7F7"/>
            <w:vAlign w:val="center"/>
            <w:hideMark/>
          </w:tcPr>
          <w:p w14:paraId="731E2BFF" w14:textId="77777777" w:rsidR="002A25A7" w:rsidRPr="002A25A7" w:rsidRDefault="002A25A7" w:rsidP="002A25A7">
            <w:r w:rsidRPr="002A25A7">
              <w:t>Недвижимость</w:t>
            </w:r>
          </w:p>
        </w:tc>
        <w:tc>
          <w:tcPr>
            <w:tcW w:w="0" w:type="auto"/>
            <w:shd w:val="clear" w:color="auto" w:fill="F7F7F7"/>
            <w:vAlign w:val="center"/>
            <w:hideMark/>
          </w:tcPr>
          <w:p w14:paraId="678AD2D7" w14:textId="77777777" w:rsidR="002A25A7" w:rsidRPr="002A25A7" w:rsidRDefault="002A25A7" w:rsidP="002A25A7">
            <w:r w:rsidRPr="002A25A7">
              <w:t>4–7% + рост цены</w:t>
            </w:r>
          </w:p>
        </w:tc>
        <w:tc>
          <w:tcPr>
            <w:tcW w:w="0" w:type="auto"/>
            <w:shd w:val="clear" w:color="auto" w:fill="F7F7F7"/>
            <w:vAlign w:val="center"/>
            <w:hideMark/>
          </w:tcPr>
          <w:p w14:paraId="53C77006" w14:textId="77777777" w:rsidR="002A25A7" w:rsidRPr="002A25A7" w:rsidRDefault="002A25A7" w:rsidP="002A25A7">
            <w:r w:rsidRPr="002A25A7">
              <w:t>Средний</w:t>
            </w:r>
          </w:p>
        </w:tc>
        <w:tc>
          <w:tcPr>
            <w:tcW w:w="0" w:type="auto"/>
            <w:shd w:val="clear" w:color="auto" w:fill="F7F7F7"/>
            <w:vAlign w:val="center"/>
            <w:hideMark/>
          </w:tcPr>
          <w:p w14:paraId="252181EE" w14:textId="77777777" w:rsidR="002A25A7" w:rsidRPr="002A25A7" w:rsidRDefault="002A25A7" w:rsidP="002A25A7">
            <w:r w:rsidRPr="002A25A7">
              <w:t>Нет</w:t>
            </w:r>
          </w:p>
        </w:tc>
      </w:tr>
    </w:tbl>
    <w:p w14:paraId="3B247A62" w14:textId="77777777" w:rsidR="00351092" w:rsidRPr="002F64E6" w:rsidRDefault="00351092" w:rsidP="00351092">
      <w:r w:rsidRPr="002F64E6">
        <w:t>Пошаговый план накоплений на пенсию — чек-лист</w:t>
      </w:r>
    </w:p>
    <w:p w14:paraId="0177D081" w14:textId="77777777" w:rsidR="00351092" w:rsidRPr="002F64E6" w:rsidRDefault="00351092" w:rsidP="00351092">
      <w:r w:rsidRPr="002F64E6">
        <w:t>Краткий чек-лист: как самостоятельно накопить на пенсию и обеспечить безбедную старость:</w:t>
      </w:r>
    </w:p>
    <w:p w14:paraId="6C86A29A" w14:textId="77777777" w:rsidR="00351092" w:rsidRPr="002F64E6" w:rsidRDefault="00351092" w:rsidP="00351092">
      <w:r w:rsidRPr="002F64E6">
        <w:t>Определите желаемый ежемесячный доход на пенсии.</w:t>
      </w:r>
    </w:p>
    <w:p w14:paraId="0418E191" w14:textId="77777777" w:rsidR="00351092" w:rsidRPr="002F64E6" w:rsidRDefault="00351092" w:rsidP="00351092">
      <w:r w:rsidRPr="002F64E6">
        <w:t>Рассчитайте размер целевого капитала с учётом инфляции.</w:t>
      </w:r>
    </w:p>
    <w:p w14:paraId="49921AD1" w14:textId="77777777" w:rsidR="00351092" w:rsidRPr="002F64E6" w:rsidRDefault="00351092" w:rsidP="00351092">
      <w:r w:rsidRPr="002F64E6">
        <w:t>Установите срок для формирования пенсионного капитала.</w:t>
      </w:r>
    </w:p>
    <w:p w14:paraId="051BA509" w14:textId="77777777" w:rsidR="00351092" w:rsidRPr="002F64E6" w:rsidRDefault="00351092" w:rsidP="00351092">
      <w:r w:rsidRPr="002F64E6">
        <w:t>Выберите финансовые инструменты для создания долгосрочных сбережений и способы накопления.</w:t>
      </w:r>
    </w:p>
    <w:p w14:paraId="10970D55" w14:textId="77777777" w:rsidR="00351092" w:rsidRPr="002F64E6" w:rsidRDefault="00351092" w:rsidP="00351092">
      <w:r w:rsidRPr="002F64E6">
        <w:t xml:space="preserve">Проведите ежегодную </w:t>
      </w:r>
      <w:proofErr w:type="spellStart"/>
      <w:r w:rsidRPr="002F64E6">
        <w:t>ребалансировку</w:t>
      </w:r>
      <w:proofErr w:type="spellEnd"/>
      <w:r w:rsidRPr="002F64E6">
        <w:t xml:space="preserve"> с учётом меняющейся ситуации.</w:t>
      </w:r>
    </w:p>
    <w:p w14:paraId="0DE73F2A" w14:textId="77777777" w:rsidR="00351092" w:rsidRPr="002F64E6" w:rsidRDefault="00351092" w:rsidP="00351092">
      <w:r w:rsidRPr="002F64E6">
        <w:t xml:space="preserve">Для упрощения процесса накоплений настройте </w:t>
      </w:r>
      <w:proofErr w:type="spellStart"/>
      <w:r w:rsidRPr="002F64E6">
        <w:t>автоплатёж</w:t>
      </w:r>
      <w:proofErr w:type="spellEnd"/>
      <w:r w:rsidRPr="002F64E6">
        <w:t xml:space="preserve"> — переводите фиксированную сумму после получения зарплаты автоматически на вклад.</w:t>
      </w:r>
    </w:p>
    <w:p w14:paraId="7B6ED418" w14:textId="77777777" w:rsidR="00351092" w:rsidRPr="002F64E6" w:rsidRDefault="00351092" w:rsidP="00351092">
      <w:r w:rsidRPr="002F64E6">
        <w:lastRenderedPageBreak/>
        <w:t xml:space="preserve">Как менять стратегию с возрастом: </w:t>
      </w:r>
      <w:proofErr w:type="spellStart"/>
      <w:r w:rsidRPr="002F64E6">
        <w:t>ребалансировка</w:t>
      </w:r>
      <w:proofErr w:type="spellEnd"/>
      <w:r w:rsidRPr="002F64E6">
        <w:t xml:space="preserve"> портфеля</w:t>
      </w:r>
    </w:p>
    <w:p w14:paraId="65CB9281" w14:textId="77777777" w:rsidR="00351092" w:rsidRPr="002F64E6" w:rsidRDefault="00351092" w:rsidP="00351092">
      <w:r w:rsidRPr="002F64E6">
        <w:t>Оптимальным вариантом, позволяющим как накопить на пенсию самостоятельно, так и сохранить капитал, может быть следующая стратегия. Она основана на изменении возраста инвестора:</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888"/>
        <w:gridCol w:w="736"/>
        <w:gridCol w:w="1194"/>
        <w:gridCol w:w="765"/>
        <w:gridCol w:w="2227"/>
      </w:tblGrid>
      <w:tr w:rsidR="002A25A7" w:rsidRPr="002A25A7" w14:paraId="374D1D0F" w14:textId="77777777">
        <w:trPr>
          <w:tblHeader/>
          <w:tblCellSpacing w:w="15" w:type="dxa"/>
        </w:trPr>
        <w:tc>
          <w:tcPr>
            <w:tcW w:w="0" w:type="auto"/>
            <w:shd w:val="clear" w:color="auto" w:fill="F7F7F7"/>
            <w:vAlign w:val="center"/>
            <w:hideMark/>
          </w:tcPr>
          <w:p w14:paraId="34BCD01B" w14:textId="77777777" w:rsidR="002A25A7" w:rsidRPr="002A25A7" w:rsidRDefault="002A25A7" w:rsidP="002A25A7">
            <w:r w:rsidRPr="002A25A7">
              <w:t>Возраст</w:t>
            </w:r>
          </w:p>
        </w:tc>
        <w:tc>
          <w:tcPr>
            <w:tcW w:w="0" w:type="auto"/>
            <w:shd w:val="clear" w:color="auto" w:fill="F7F7F7"/>
            <w:vAlign w:val="center"/>
            <w:hideMark/>
          </w:tcPr>
          <w:p w14:paraId="4A886670" w14:textId="77777777" w:rsidR="002A25A7" w:rsidRPr="002A25A7" w:rsidRDefault="002A25A7" w:rsidP="002A25A7">
            <w:r w:rsidRPr="002A25A7">
              <w:t>Акции</w:t>
            </w:r>
          </w:p>
        </w:tc>
        <w:tc>
          <w:tcPr>
            <w:tcW w:w="0" w:type="auto"/>
            <w:shd w:val="clear" w:color="auto" w:fill="F7F7F7"/>
            <w:vAlign w:val="center"/>
            <w:hideMark/>
          </w:tcPr>
          <w:p w14:paraId="6DCEAD3A" w14:textId="77777777" w:rsidR="002A25A7" w:rsidRPr="002A25A7" w:rsidRDefault="002A25A7" w:rsidP="002A25A7">
            <w:r w:rsidRPr="002A25A7">
              <w:t>Облигации</w:t>
            </w:r>
          </w:p>
        </w:tc>
        <w:tc>
          <w:tcPr>
            <w:tcW w:w="0" w:type="auto"/>
            <w:shd w:val="clear" w:color="auto" w:fill="F7F7F7"/>
            <w:vAlign w:val="center"/>
            <w:hideMark/>
          </w:tcPr>
          <w:p w14:paraId="2CD88268" w14:textId="77777777" w:rsidR="002A25A7" w:rsidRPr="002A25A7" w:rsidRDefault="002A25A7" w:rsidP="002A25A7">
            <w:r w:rsidRPr="002A25A7">
              <w:t>Золото</w:t>
            </w:r>
          </w:p>
        </w:tc>
        <w:tc>
          <w:tcPr>
            <w:tcW w:w="0" w:type="auto"/>
            <w:shd w:val="clear" w:color="auto" w:fill="F7F7F7"/>
            <w:vAlign w:val="center"/>
            <w:hideMark/>
          </w:tcPr>
          <w:p w14:paraId="090F9ED6" w14:textId="77777777" w:rsidR="002A25A7" w:rsidRPr="002A25A7" w:rsidRDefault="002A25A7" w:rsidP="002A25A7">
            <w:r w:rsidRPr="002A25A7">
              <w:t>Вклады / ПДС</w:t>
            </w:r>
          </w:p>
        </w:tc>
      </w:tr>
      <w:tr w:rsidR="002A25A7" w:rsidRPr="002A25A7" w14:paraId="7B3FE385" w14:textId="77777777">
        <w:trPr>
          <w:tblCellSpacing w:w="15" w:type="dxa"/>
        </w:trPr>
        <w:tc>
          <w:tcPr>
            <w:tcW w:w="0" w:type="auto"/>
            <w:shd w:val="clear" w:color="auto" w:fill="F7F7F7"/>
            <w:vAlign w:val="center"/>
            <w:hideMark/>
          </w:tcPr>
          <w:p w14:paraId="24608D76" w14:textId="77777777" w:rsidR="002A25A7" w:rsidRPr="002A25A7" w:rsidRDefault="002A25A7" w:rsidP="002A25A7">
            <w:r w:rsidRPr="002A25A7">
              <w:t>30 лет</w:t>
            </w:r>
          </w:p>
        </w:tc>
        <w:tc>
          <w:tcPr>
            <w:tcW w:w="0" w:type="auto"/>
            <w:shd w:val="clear" w:color="auto" w:fill="F7F7F7"/>
            <w:vAlign w:val="center"/>
            <w:hideMark/>
          </w:tcPr>
          <w:p w14:paraId="271FA682" w14:textId="77777777" w:rsidR="002A25A7" w:rsidRPr="002A25A7" w:rsidRDefault="002A25A7" w:rsidP="002A25A7">
            <w:r w:rsidRPr="002A25A7">
              <w:t>60%</w:t>
            </w:r>
          </w:p>
        </w:tc>
        <w:tc>
          <w:tcPr>
            <w:tcW w:w="0" w:type="auto"/>
            <w:shd w:val="clear" w:color="auto" w:fill="F7F7F7"/>
            <w:vAlign w:val="center"/>
            <w:hideMark/>
          </w:tcPr>
          <w:p w14:paraId="04439D60" w14:textId="77777777" w:rsidR="002A25A7" w:rsidRPr="002A25A7" w:rsidRDefault="002A25A7" w:rsidP="002A25A7">
            <w:r w:rsidRPr="002A25A7">
              <w:t>20%</w:t>
            </w:r>
          </w:p>
        </w:tc>
        <w:tc>
          <w:tcPr>
            <w:tcW w:w="0" w:type="auto"/>
            <w:shd w:val="clear" w:color="auto" w:fill="F7F7F7"/>
            <w:vAlign w:val="center"/>
            <w:hideMark/>
          </w:tcPr>
          <w:p w14:paraId="30F91EAD" w14:textId="77777777" w:rsidR="002A25A7" w:rsidRPr="002A25A7" w:rsidRDefault="002A25A7" w:rsidP="002A25A7">
            <w:r w:rsidRPr="002A25A7">
              <w:t>10%</w:t>
            </w:r>
          </w:p>
        </w:tc>
        <w:tc>
          <w:tcPr>
            <w:tcW w:w="0" w:type="auto"/>
            <w:shd w:val="clear" w:color="auto" w:fill="F7F7F7"/>
            <w:vAlign w:val="center"/>
            <w:hideMark/>
          </w:tcPr>
          <w:p w14:paraId="601AB288" w14:textId="77777777" w:rsidR="002A25A7" w:rsidRPr="002A25A7" w:rsidRDefault="002A25A7" w:rsidP="002A25A7">
            <w:r w:rsidRPr="002A25A7">
              <w:t>10% (ПДС)</w:t>
            </w:r>
          </w:p>
        </w:tc>
      </w:tr>
      <w:tr w:rsidR="002A25A7" w:rsidRPr="002A25A7" w14:paraId="64D22F36" w14:textId="77777777">
        <w:trPr>
          <w:tblCellSpacing w:w="15" w:type="dxa"/>
        </w:trPr>
        <w:tc>
          <w:tcPr>
            <w:tcW w:w="0" w:type="auto"/>
            <w:shd w:val="clear" w:color="auto" w:fill="F7F7F7"/>
            <w:vAlign w:val="center"/>
            <w:hideMark/>
          </w:tcPr>
          <w:p w14:paraId="5D085688" w14:textId="77777777" w:rsidR="002A25A7" w:rsidRPr="002A25A7" w:rsidRDefault="002A25A7" w:rsidP="002A25A7">
            <w:r w:rsidRPr="002A25A7">
              <w:t>40 лет</w:t>
            </w:r>
          </w:p>
        </w:tc>
        <w:tc>
          <w:tcPr>
            <w:tcW w:w="0" w:type="auto"/>
            <w:shd w:val="clear" w:color="auto" w:fill="F7F7F7"/>
            <w:vAlign w:val="center"/>
            <w:hideMark/>
          </w:tcPr>
          <w:p w14:paraId="23EC8AEE" w14:textId="77777777" w:rsidR="002A25A7" w:rsidRPr="002A25A7" w:rsidRDefault="002A25A7" w:rsidP="002A25A7">
            <w:r w:rsidRPr="002A25A7">
              <w:t>50%</w:t>
            </w:r>
          </w:p>
        </w:tc>
        <w:tc>
          <w:tcPr>
            <w:tcW w:w="0" w:type="auto"/>
            <w:shd w:val="clear" w:color="auto" w:fill="F7F7F7"/>
            <w:vAlign w:val="center"/>
            <w:hideMark/>
          </w:tcPr>
          <w:p w14:paraId="449A990A" w14:textId="77777777" w:rsidR="002A25A7" w:rsidRPr="002A25A7" w:rsidRDefault="002A25A7" w:rsidP="002A25A7">
            <w:r w:rsidRPr="002A25A7">
              <w:t>30%</w:t>
            </w:r>
          </w:p>
        </w:tc>
        <w:tc>
          <w:tcPr>
            <w:tcW w:w="0" w:type="auto"/>
            <w:shd w:val="clear" w:color="auto" w:fill="F7F7F7"/>
            <w:vAlign w:val="center"/>
            <w:hideMark/>
          </w:tcPr>
          <w:p w14:paraId="79EDE088" w14:textId="77777777" w:rsidR="002A25A7" w:rsidRPr="002A25A7" w:rsidRDefault="002A25A7" w:rsidP="002A25A7">
            <w:r w:rsidRPr="002A25A7">
              <w:t>10%</w:t>
            </w:r>
          </w:p>
        </w:tc>
        <w:tc>
          <w:tcPr>
            <w:tcW w:w="0" w:type="auto"/>
            <w:shd w:val="clear" w:color="auto" w:fill="F7F7F7"/>
            <w:vAlign w:val="center"/>
            <w:hideMark/>
          </w:tcPr>
          <w:p w14:paraId="35CBC1AF" w14:textId="77777777" w:rsidR="002A25A7" w:rsidRPr="002A25A7" w:rsidRDefault="002A25A7" w:rsidP="002A25A7">
            <w:r w:rsidRPr="002A25A7">
              <w:t>10% (ПДС)</w:t>
            </w:r>
          </w:p>
        </w:tc>
      </w:tr>
      <w:tr w:rsidR="002A25A7" w:rsidRPr="002A25A7" w14:paraId="2B089A39" w14:textId="77777777">
        <w:trPr>
          <w:tblCellSpacing w:w="15" w:type="dxa"/>
        </w:trPr>
        <w:tc>
          <w:tcPr>
            <w:tcW w:w="0" w:type="auto"/>
            <w:shd w:val="clear" w:color="auto" w:fill="F7F7F7"/>
            <w:vAlign w:val="center"/>
            <w:hideMark/>
          </w:tcPr>
          <w:p w14:paraId="6E6A263F" w14:textId="77777777" w:rsidR="002A25A7" w:rsidRPr="002A25A7" w:rsidRDefault="002A25A7" w:rsidP="002A25A7">
            <w:r w:rsidRPr="002A25A7">
              <w:t>50 лет</w:t>
            </w:r>
          </w:p>
        </w:tc>
        <w:tc>
          <w:tcPr>
            <w:tcW w:w="0" w:type="auto"/>
            <w:shd w:val="clear" w:color="auto" w:fill="F7F7F7"/>
            <w:vAlign w:val="center"/>
            <w:hideMark/>
          </w:tcPr>
          <w:p w14:paraId="794A33D9" w14:textId="77777777" w:rsidR="002A25A7" w:rsidRPr="002A25A7" w:rsidRDefault="002A25A7" w:rsidP="002A25A7">
            <w:r w:rsidRPr="002A25A7">
              <w:t>40%</w:t>
            </w:r>
          </w:p>
        </w:tc>
        <w:tc>
          <w:tcPr>
            <w:tcW w:w="0" w:type="auto"/>
            <w:shd w:val="clear" w:color="auto" w:fill="F7F7F7"/>
            <w:vAlign w:val="center"/>
            <w:hideMark/>
          </w:tcPr>
          <w:p w14:paraId="2EB3FA81" w14:textId="77777777" w:rsidR="002A25A7" w:rsidRPr="002A25A7" w:rsidRDefault="002A25A7" w:rsidP="002A25A7">
            <w:r w:rsidRPr="002A25A7">
              <w:t>30%</w:t>
            </w:r>
          </w:p>
        </w:tc>
        <w:tc>
          <w:tcPr>
            <w:tcW w:w="0" w:type="auto"/>
            <w:shd w:val="clear" w:color="auto" w:fill="F7F7F7"/>
            <w:vAlign w:val="center"/>
            <w:hideMark/>
          </w:tcPr>
          <w:p w14:paraId="499DE547" w14:textId="77777777" w:rsidR="002A25A7" w:rsidRPr="002A25A7" w:rsidRDefault="002A25A7" w:rsidP="002A25A7">
            <w:r w:rsidRPr="002A25A7">
              <w:t>10%</w:t>
            </w:r>
          </w:p>
        </w:tc>
        <w:tc>
          <w:tcPr>
            <w:tcW w:w="0" w:type="auto"/>
            <w:shd w:val="clear" w:color="auto" w:fill="F7F7F7"/>
            <w:vAlign w:val="center"/>
            <w:hideMark/>
          </w:tcPr>
          <w:p w14:paraId="4971BA65" w14:textId="77777777" w:rsidR="002A25A7" w:rsidRPr="002A25A7" w:rsidRDefault="002A25A7" w:rsidP="002A25A7">
            <w:r w:rsidRPr="002A25A7">
              <w:t>20% (вклад + ПДС)</w:t>
            </w:r>
          </w:p>
        </w:tc>
      </w:tr>
      <w:tr w:rsidR="002A25A7" w:rsidRPr="002A25A7" w14:paraId="40C48B9F" w14:textId="77777777">
        <w:trPr>
          <w:tblCellSpacing w:w="15" w:type="dxa"/>
        </w:trPr>
        <w:tc>
          <w:tcPr>
            <w:tcW w:w="0" w:type="auto"/>
            <w:shd w:val="clear" w:color="auto" w:fill="F7F7F7"/>
            <w:vAlign w:val="center"/>
            <w:hideMark/>
          </w:tcPr>
          <w:p w14:paraId="041134E8" w14:textId="77777777" w:rsidR="002A25A7" w:rsidRPr="002A25A7" w:rsidRDefault="002A25A7" w:rsidP="002A25A7">
            <w:r w:rsidRPr="002A25A7">
              <w:t>60 лет</w:t>
            </w:r>
          </w:p>
        </w:tc>
        <w:tc>
          <w:tcPr>
            <w:tcW w:w="0" w:type="auto"/>
            <w:shd w:val="clear" w:color="auto" w:fill="F7F7F7"/>
            <w:vAlign w:val="center"/>
            <w:hideMark/>
          </w:tcPr>
          <w:p w14:paraId="2327649A" w14:textId="77777777" w:rsidR="002A25A7" w:rsidRPr="002A25A7" w:rsidRDefault="002A25A7" w:rsidP="002A25A7">
            <w:r w:rsidRPr="002A25A7">
              <w:t>—</w:t>
            </w:r>
          </w:p>
        </w:tc>
        <w:tc>
          <w:tcPr>
            <w:tcW w:w="0" w:type="auto"/>
            <w:shd w:val="clear" w:color="auto" w:fill="F7F7F7"/>
            <w:vAlign w:val="center"/>
            <w:hideMark/>
          </w:tcPr>
          <w:p w14:paraId="394B23E4" w14:textId="77777777" w:rsidR="002A25A7" w:rsidRPr="002A25A7" w:rsidRDefault="002A25A7" w:rsidP="002A25A7">
            <w:r w:rsidRPr="002A25A7">
              <w:t>30%</w:t>
            </w:r>
          </w:p>
        </w:tc>
        <w:tc>
          <w:tcPr>
            <w:tcW w:w="0" w:type="auto"/>
            <w:shd w:val="clear" w:color="auto" w:fill="F7F7F7"/>
            <w:vAlign w:val="center"/>
            <w:hideMark/>
          </w:tcPr>
          <w:p w14:paraId="12ACA14C" w14:textId="77777777" w:rsidR="002A25A7" w:rsidRPr="002A25A7" w:rsidRDefault="002A25A7" w:rsidP="002A25A7">
            <w:r w:rsidRPr="002A25A7">
              <w:t>20%</w:t>
            </w:r>
          </w:p>
        </w:tc>
        <w:tc>
          <w:tcPr>
            <w:tcW w:w="0" w:type="auto"/>
            <w:shd w:val="clear" w:color="auto" w:fill="F7F7F7"/>
            <w:vAlign w:val="center"/>
            <w:hideMark/>
          </w:tcPr>
          <w:p w14:paraId="03B48E52" w14:textId="77777777" w:rsidR="002A25A7" w:rsidRPr="002A25A7" w:rsidRDefault="002A25A7" w:rsidP="002A25A7">
            <w:r w:rsidRPr="002A25A7">
              <w:t>50% (вклады + ПДС)</w:t>
            </w:r>
          </w:p>
        </w:tc>
      </w:tr>
    </w:tbl>
    <w:p w14:paraId="4E8CDCD3" w14:textId="77777777" w:rsidR="00351092" w:rsidRPr="002F64E6" w:rsidRDefault="00351092" w:rsidP="00351092">
      <w:r w:rsidRPr="002F64E6">
        <w:t xml:space="preserve">Рекомендуется проводить </w:t>
      </w:r>
      <w:proofErr w:type="spellStart"/>
      <w:r w:rsidRPr="002F64E6">
        <w:t>ребалансировку</w:t>
      </w:r>
      <w:proofErr w:type="spellEnd"/>
      <w:r w:rsidRPr="002F64E6">
        <w:t xml:space="preserve"> (корректировку портфеля) ежегодно или при значительных изменениях в экономической обстановке. Примерно за 5 лет до выхода на пенсию максимально уменьшайте долю рисковых активов: акций, </w:t>
      </w:r>
      <w:proofErr w:type="spellStart"/>
      <w:r w:rsidRPr="002F64E6">
        <w:t>ПИФов</w:t>
      </w:r>
      <w:proofErr w:type="spellEnd"/>
      <w:r w:rsidRPr="002F64E6">
        <w:t>.</w:t>
      </w:r>
    </w:p>
    <w:p w14:paraId="0D0074C1" w14:textId="77777777" w:rsidR="00351092" w:rsidRPr="002F64E6" w:rsidRDefault="00351092" w:rsidP="00351092">
      <w:r w:rsidRPr="002F64E6">
        <w:t>Налоговые вычеты и льготы при накоплении на пенсию</w:t>
      </w:r>
    </w:p>
    <w:p w14:paraId="658BCB61" w14:textId="77777777" w:rsidR="00351092" w:rsidRPr="002F64E6" w:rsidRDefault="00351092" w:rsidP="00351092">
      <w:r w:rsidRPr="002F64E6">
        <w:t>Государство стимулирует граждан, желающих накопить на пенсию самостоятельно, помогая создать долгосрочные накопления (</w:t>
      </w:r>
      <w:proofErr w:type="spellStart"/>
      <w:r w:rsidRPr="002F64E6">
        <w:t>софинансирование</w:t>
      </w:r>
      <w:proofErr w:type="spellEnd"/>
      <w:r w:rsidRPr="002F64E6">
        <w:t>) и уменьшить налоговую нагрузку:</w:t>
      </w:r>
    </w:p>
    <w:p w14:paraId="3F063C14" w14:textId="77777777" w:rsidR="00351092" w:rsidRPr="002F64E6" w:rsidRDefault="00351092" w:rsidP="00351092">
      <w:r w:rsidRPr="002F64E6">
        <w:t>Вычет по взносам в НПФ, ПДС, НСЖ. Инвесторы могут вернуть 13 или 15% НДФЛ.</w:t>
      </w:r>
    </w:p>
    <w:p w14:paraId="6D3B9E0F" w14:textId="77777777" w:rsidR="00351092" w:rsidRPr="002F64E6" w:rsidRDefault="00351092" w:rsidP="00351092">
      <w:r w:rsidRPr="002F64E6">
        <w:t>Вычет по ИИС. По типу А — возвращение НДФЛ; по типу Б — освобождение от налога на прибыль.</w:t>
      </w:r>
    </w:p>
    <w:p w14:paraId="232B9AA4" w14:textId="77777777" w:rsidR="00351092" w:rsidRPr="002F64E6" w:rsidRDefault="00351092" w:rsidP="00351092">
      <w:proofErr w:type="spellStart"/>
      <w:r w:rsidRPr="002F64E6">
        <w:t>Софинансирование</w:t>
      </w:r>
      <w:proofErr w:type="spellEnd"/>
      <w:r w:rsidRPr="002F64E6">
        <w:t xml:space="preserve">. Граждане, участвующие в ПДС, могут рассчитывать на </w:t>
      </w:r>
      <w:proofErr w:type="spellStart"/>
      <w:r w:rsidRPr="002F64E6">
        <w:t>софинансирование</w:t>
      </w:r>
      <w:proofErr w:type="spellEnd"/>
      <w:r w:rsidRPr="002F64E6">
        <w:t>.</w:t>
      </w:r>
    </w:p>
    <w:p w14:paraId="5AD83C59" w14:textId="77777777" w:rsidR="00351092" w:rsidRPr="002F64E6" w:rsidRDefault="00351092" w:rsidP="00351092">
      <w:r w:rsidRPr="002F64E6">
        <w:t>Использование льгот увеличивает реальную доходность накоплений.</w:t>
      </w:r>
    </w:p>
    <w:p w14:paraId="34901A12" w14:textId="77777777" w:rsidR="00351092" w:rsidRPr="002F64E6" w:rsidRDefault="00351092" w:rsidP="00351092">
      <w:r w:rsidRPr="002F64E6">
        <w:t>Типичные ошибки при накоплении на пенсию</w:t>
      </w:r>
    </w:p>
    <w:p w14:paraId="1744E20F" w14:textId="77777777" w:rsidR="00351092" w:rsidRPr="002F64E6" w:rsidRDefault="00351092" w:rsidP="00351092">
      <w:r w:rsidRPr="002F64E6">
        <w:t>Самые распространённые ошибки при накоплении:</w:t>
      </w:r>
    </w:p>
    <w:p w14:paraId="48A111CC" w14:textId="77777777" w:rsidR="00351092" w:rsidRPr="002F64E6" w:rsidRDefault="00351092" w:rsidP="00351092">
      <w:r w:rsidRPr="002F64E6">
        <w:t>Оставить на потом. Упущенное время не компенсируется.</w:t>
      </w:r>
    </w:p>
    <w:p w14:paraId="6634895C" w14:textId="77777777" w:rsidR="00351092" w:rsidRPr="002F64E6" w:rsidRDefault="00351092" w:rsidP="00351092">
      <w:r w:rsidRPr="002F64E6">
        <w:t>Хранить все деньги в одном инструменте. Диверсификация портфеля обязательна.</w:t>
      </w:r>
    </w:p>
    <w:p w14:paraId="08868EDA" w14:textId="77777777" w:rsidR="00351092" w:rsidRPr="002F64E6" w:rsidRDefault="00351092" w:rsidP="00351092">
      <w:r w:rsidRPr="002F64E6">
        <w:t>Отказаться от финансовой подушки. Всегда должны быть деньги, доступ к которым максимально упрощён.</w:t>
      </w:r>
    </w:p>
    <w:p w14:paraId="2D230169" w14:textId="77777777" w:rsidR="00351092" w:rsidRPr="002F64E6" w:rsidRDefault="00351092" w:rsidP="00351092">
      <w:r w:rsidRPr="002F64E6">
        <w:t>Использовать накопления до срока. Не поддавайтесь искушению потратить часть капитала на текущие нужды.</w:t>
      </w:r>
    </w:p>
    <w:p w14:paraId="32F9E62C" w14:textId="77777777" w:rsidR="00351092" w:rsidRPr="002F64E6" w:rsidRDefault="00351092" w:rsidP="00351092">
      <w:r w:rsidRPr="002F64E6">
        <w:t>Чтобы накопить на старость, важно создать план и чётко ему следовать.</w:t>
      </w:r>
    </w:p>
    <w:p w14:paraId="37FFF556" w14:textId="77777777" w:rsidR="00351092" w:rsidRPr="002F64E6" w:rsidRDefault="00351092" w:rsidP="00351092">
      <w:r w:rsidRPr="002F64E6">
        <w:t>Часто задаваемые вопросы</w:t>
      </w:r>
    </w:p>
    <w:p w14:paraId="7173A56D" w14:textId="77777777" w:rsidR="00351092" w:rsidRPr="002F64E6" w:rsidRDefault="00351092" w:rsidP="00351092">
      <w:r w:rsidRPr="002F64E6">
        <w:t>Можно ли накопить на пенсию, если до неё осталось 10–15 лет?</w:t>
      </w:r>
    </w:p>
    <w:p w14:paraId="7C9E47D8" w14:textId="77777777" w:rsidR="00351092" w:rsidRPr="002F64E6" w:rsidRDefault="00351092" w:rsidP="00351092">
      <w:r w:rsidRPr="002F64E6">
        <w:t>Можно накопить на пенсию самостоятельно как за 15, так и за 10 лет. Выбирайте наиболее прибыльные финансовые инструменты, откладывайте крупные суммы, участвуйте в ПДС.</w:t>
      </w:r>
    </w:p>
    <w:p w14:paraId="5F373668" w14:textId="77777777" w:rsidR="00351092" w:rsidRPr="002F64E6" w:rsidRDefault="00351092" w:rsidP="00351092">
      <w:r w:rsidRPr="002F64E6">
        <w:lastRenderedPageBreak/>
        <w:t>Куда лучше вложить деньги на пенсию: вклад, акции или ПДС?</w:t>
      </w:r>
    </w:p>
    <w:p w14:paraId="642F273E" w14:textId="77777777" w:rsidR="00351092" w:rsidRPr="002F64E6" w:rsidRDefault="00351092" w:rsidP="00351092">
      <w:r w:rsidRPr="002F64E6">
        <w:t>Оптимальный вариант, позволяющий как накопить на старость в России, так и получать постоянный пассивный доход, — диверсификация портфеля. Вступите в ПДС, откройте ИИС, заключите договор банковского вклада.</w:t>
      </w:r>
    </w:p>
    <w:p w14:paraId="00017235" w14:textId="77777777" w:rsidR="00351092" w:rsidRPr="002F64E6" w:rsidRDefault="00351092" w:rsidP="00351092">
      <w:r w:rsidRPr="002F64E6">
        <w:t>Что будет с накоплениями, если банк или НПФ обанкротится?</w:t>
      </w:r>
    </w:p>
    <w:p w14:paraId="52871852" w14:textId="77777777" w:rsidR="00351092" w:rsidRPr="002F64E6" w:rsidRDefault="00351092" w:rsidP="00351092">
      <w:r w:rsidRPr="002F64E6">
        <w:t>Средства, размещённые на вкладах в банках, застрахованы на сумму до 1,4 млн рублей. Деньги НПФ и ПДС застрахованы на сумму до 2,8 млн рублей. Государство гарантирует возврат вложений, но только если они сделаны в банк или фонд, имеющий лицензию и участвующий в программе страхования.</w:t>
      </w:r>
    </w:p>
    <w:p w14:paraId="23BCDD0E" w14:textId="77777777" w:rsidR="00351092" w:rsidRPr="002F64E6" w:rsidRDefault="00351092" w:rsidP="00351092">
      <w:r w:rsidRPr="002F64E6">
        <w:t>Как инфляция влияет на пенсионные накопления и как от неё защититься?</w:t>
      </w:r>
    </w:p>
    <w:p w14:paraId="1F792C91" w14:textId="77777777" w:rsidR="00351092" w:rsidRPr="002F64E6" w:rsidRDefault="00351092" w:rsidP="00351092">
      <w:r w:rsidRPr="002F64E6">
        <w:t>Инфляция снижает покупательную способность накоплений. Защититься от этого помогут финансовые инструменты, обеспечивающие прибыль выше инфляции.</w:t>
      </w:r>
    </w:p>
    <w:p w14:paraId="0A8DCF93" w14:textId="5C05208F" w:rsidR="00351092" w:rsidRPr="002F64E6" w:rsidRDefault="000D71EB" w:rsidP="00351092">
      <w:hyperlink r:id="rId22" w:history="1">
        <w:r w:rsidR="00351092" w:rsidRPr="002F64E6">
          <w:rPr>
            <w:rStyle w:val="a3"/>
          </w:rPr>
          <w:t>https://www.vbr.ru/banki/help/vklady/kak-nakopit-na-pensiyu-samostoyatelno-v-rossii/</w:t>
        </w:r>
      </w:hyperlink>
      <w:r w:rsidR="00351092" w:rsidRPr="002F64E6">
        <w:t xml:space="preserve"> </w:t>
      </w:r>
    </w:p>
    <w:p w14:paraId="6CBC5F47" w14:textId="18370C8D" w:rsidR="005570DD" w:rsidRPr="002F64E6" w:rsidRDefault="005570DD" w:rsidP="005570DD">
      <w:pPr>
        <w:pStyle w:val="2"/>
      </w:pPr>
      <w:bookmarkStart w:id="77" w:name="_Toc223591122"/>
      <w:bookmarkEnd w:id="75"/>
      <w:r w:rsidRPr="002F64E6">
        <w:t>АиФ-Тюмень, 04.03.2026, Сбережения жителей Тюменской области превысили 23 млрд рублей</w:t>
      </w:r>
      <w:bookmarkEnd w:id="77"/>
    </w:p>
    <w:p w14:paraId="11A0159D" w14:textId="77777777" w:rsidR="005570DD" w:rsidRPr="002F64E6" w:rsidRDefault="005570DD" w:rsidP="003F5B32">
      <w:pPr>
        <w:pStyle w:val="3"/>
      </w:pPr>
      <w:bookmarkStart w:id="78" w:name="_Toc223591123"/>
      <w:r w:rsidRPr="002F64E6">
        <w:t>Жители юга Тюменской области, а также Югры и Ямала активно подключаются к программе долгосрочных сбережений. По данным на начало 2026 года, участники региона заключили более 350 тысяч договоров с негосударственными пенсионными фондами. Общий объем накоплений превысил 23 млрд рублей. Средства переводились в том числе из Социального фонда России и частных НПФ.</w:t>
      </w:r>
      <w:bookmarkEnd w:id="78"/>
    </w:p>
    <w:p w14:paraId="4569F463" w14:textId="77777777" w:rsidR="005570DD" w:rsidRPr="002F64E6" w:rsidRDefault="005570DD" w:rsidP="005570DD">
      <w:r w:rsidRPr="002F64E6">
        <w:t xml:space="preserve">Как отмечают в Банке России, программа долгосрочных сбережений позволяет формировать финансовый резерв на будущее. Участники могут получать налоговый вычет и государственное </w:t>
      </w:r>
      <w:proofErr w:type="spellStart"/>
      <w:r w:rsidRPr="002F64E6">
        <w:t>софинансирование</w:t>
      </w:r>
      <w:proofErr w:type="spellEnd"/>
      <w:r w:rsidRPr="002F64E6">
        <w:t xml:space="preserve"> — до 36 тысяч рублей ежегодно на протяжении десяти лет. Накопления, включая инвестиционный доход, защищены системой страхования государства на сумму до 2,8 млн рублей.</w:t>
      </w:r>
    </w:p>
    <w:p w14:paraId="0CD15754" w14:textId="77777777" w:rsidR="005570DD" w:rsidRPr="002F64E6" w:rsidRDefault="005570DD" w:rsidP="005570DD">
      <w:r w:rsidRPr="002F64E6">
        <w:t>Начать участие в программе можно через договор с негосударственным пенсионным фондом. Выплаты по сбережениям станут доступны через 15 лет после заключения договора либо по достижении пенсионного возраста. Подать заявку можно дистанционно или в офисе фонда.</w:t>
      </w:r>
    </w:p>
    <w:p w14:paraId="77E99CB1" w14:textId="377BC110" w:rsidR="008246DD" w:rsidRDefault="000D71EB" w:rsidP="005570DD">
      <w:hyperlink r:id="rId23" w:history="1">
        <w:r w:rsidR="005570DD" w:rsidRPr="002F64E6">
          <w:rPr>
            <w:rStyle w:val="a3"/>
          </w:rPr>
          <w:t>https://tmn.aif.ru/society/sberezheniya-zhiteley-tyumenskoy-oblasti-prevysili-23-mlrd-rubley</w:t>
        </w:r>
      </w:hyperlink>
    </w:p>
    <w:p w14:paraId="513529DC" w14:textId="05580DAA" w:rsidR="00405284" w:rsidRDefault="00405284" w:rsidP="00405284">
      <w:pPr>
        <w:pStyle w:val="2"/>
      </w:pPr>
      <w:bookmarkStart w:id="79" w:name="_Toc223591124"/>
      <w:proofErr w:type="spellStart"/>
      <w:r>
        <w:lastRenderedPageBreak/>
        <w:t>Вслух.ру</w:t>
      </w:r>
      <w:proofErr w:type="spellEnd"/>
      <w:r>
        <w:t xml:space="preserve"> (Тюмень), 04.03.2026, Жители тюменской </w:t>
      </w:r>
      <w:r w:rsidR="00E77AB9">
        <w:t>«</w:t>
      </w:r>
      <w:r>
        <w:t>матрешки</w:t>
      </w:r>
      <w:r w:rsidR="00E77AB9">
        <w:t>»</w:t>
      </w:r>
      <w:r>
        <w:t xml:space="preserve"> вложили в программу долгосрочных сбережений 23 миллиарда рублей</w:t>
      </w:r>
      <w:bookmarkEnd w:id="79"/>
    </w:p>
    <w:p w14:paraId="7F93AAD8" w14:textId="77777777" w:rsidR="00405284" w:rsidRDefault="00405284" w:rsidP="003F5B32">
      <w:pPr>
        <w:pStyle w:val="3"/>
      </w:pPr>
      <w:bookmarkStart w:id="80" w:name="_Toc223591125"/>
      <w:r>
        <w:t>Жители Тюменской области, Югры и Ямала заключили с негосударственными пенсионными фондами (НПФ) более 350 тыс. договоров о долгосрочных сбережениях. Общий объем взносов на начало января достиг 23 млрд рублей.</w:t>
      </w:r>
      <w:bookmarkEnd w:id="80"/>
    </w:p>
    <w:p w14:paraId="5F0E1D13" w14:textId="77777777" w:rsidR="00405284" w:rsidRDefault="00405284" w:rsidP="00405284">
      <w:r>
        <w:t xml:space="preserve">На юге Тюменской области граждане оформили 139 тыс. договоров и перечислили на счета НПФ почти 8 млрд рублей, </w:t>
      </w:r>
      <w:proofErr w:type="spellStart"/>
      <w:r>
        <w:t>югорчане</w:t>
      </w:r>
      <w:proofErr w:type="spellEnd"/>
      <w:r>
        <w:t xml:space="preserve"> — 191 тыс. договоров и 11,6 млрд рублей, </w:t>
      </w:r>
      <w:proofErr w:type="spellStart"/>
      <w:r>
        <w:t>ямальцы</w:t>
      </w:r>
      <w:proofErr w:type="spellEnd"/>
      <w:r>
        <w:t xml:space="preserve"> — 21 тыс. и 3,5 млрд рублей соответственно.</w:t>
      </w:r>
    </w:p>
    <w:p w14:paraId="3B7E3E70" w14:textId="77777777" w:rsidR="00405284" w:rsidRDefault="00405284" w:rsidP="00405284">
      <w:r>
        <w:t xml:space="preserve">Программа долгосрочных сбережений заработала в России с января 2024 года. </w:t>
      </w:r>
      <w:proofErr w:type="spellStart"/>
      <w:r>
        <w:t>Тюменцы</w:t>
      </w:r>
      <w:proofErr w:type="spellEnd"/>
      <w:r>
        <w:t xml:space="preserve">, </w:t>
      </w:r>
      <w:proofErr w:type="spellStart"/>
      <w:r>
        <w:t>югорчане</w:t>
      </w:r>
      <w:proofErr w:type="spellEnd"/>
      <w:r>
        <w:t xml:space="preserve"> и </w:t>
      </w:r>
      <w:proofErr w:type="spellStart"/>
      <w:r>
        <w:t>ямальцы</w:t>
      </w:r>
      <w:proofErr w:type="spellEnd"/>
      <w:r>
        <w:t xml:space="preserve"> активно вступают в нее и переводят туда свои пенсионные накопления из Социального фонда России и НПФ.</w:t>
      </w:r>
    </w:p>
    <w:p w14:paraId="752E3509" w14:textId="77AB868C" w:rsidR="00405284" w:rsidRDefault="00E77AB9" w:rsidP="00405284">
      <w:r>
        <w:t>«</w:t>
      </w:r>
      <w:r w:rsidR="00405284">
        <w:t xml:space="preserve">Вступившие в программу имеют право на налоговый вычет и </w:t>
      </w:r>
      <w:proofErr w:type="spellStart"/>
      <w:r w:rsidR="00405284">
        <w:t>софинансирование</w:t>
      </w:r>
      <w:proofErr w:type="spellEnd"/>
      <w:r w:rsidR="00405284">
        <w:t xml:space="preserve"> от государства до 36 тысяч рублей в год в течение десяти лет. Средства в программе, включая доход от их инвестирования, застрахованы государством на сумму 2,8 млн рублей</w:t>
      </w:r>
      <w:r>
        <w:t>»</w:t>
      </w:r>
      <w:r w:rsidR="00405284">
        <w:t>, — рассказала управляющий отделением Банка России по Тюменской области Елена Никитина.</w:t>
      </w:r>
    </w:p>
    <w:p w14:paraId="08B59F1F" w14:textId="77777777" w:rsidR="00405284" w:rsidRDefault="00405284" w:rsidP="00405284">
      <w:r>
        <w:t>Возможность получать ежемесячные выплаты по этой программе наступит через 15 лет с момента заключения договора или с 55 лет для женщин и с 60 лет для мужчин. Чтобы начать формировать сбережения, необходимо заключить договор с НПФ, который является оператором программы. Это можно сделать на сайте или в офисе фонда, пояснили в пресс-службе регионального отделения.</w:t>
      </w:r>
    </w:p>
    <w:p w14:paraId="699C330A" w14:textId="71BACEEA" w:rsidR="00405284" w:rsidRPr="003665FD" w:rsidRDefault="000D71EB" w:rsidP="00405284">
      <w:hyperlink r:id="rId24" w:history="1">
        <w:r w:rsidR="00405284" w:rsidRPr="00BF44D7">
          <w:rPr>
            <w:rStyle w:val="a3"/>
          </w:rPr>
          <w:t>https://vsluh.ru/novosti/dengi/zhiteli-tyumenskoy-matreshki-vlozhili-v-programmu-dolgosrochnykh-sberezheniy-23-milliarda-rubley_424718/</w:t>
        </w:r>
      </w:hyperlink>
      <w:r w:rsidR="00405284">
        <w:t xml:space="preserve"> </w:t>
      </w:r>
    </w:p>
    <w:p w14:paraId="29858C47" w14:textId="0311A988" w:rsidR="00573E22" w:rsidRPr="00573E22" w:rsidRDefault="00573E22" w:rsidP="00573E22">
      <w:pPr>
        <w:pStyle w:val="2"/>
      </w:pPr>
      <w:bookmarkStart w:id="81" w:name="_Toc223591126"/>
      <w:proofErr w:type="spellStart"/>
      <w:r>
        <w:t>Омедиа</w:t>
      </w:r>
      <w:proofErr w:type="spellEnd"/>
      <w:r w:rsidRPr="00573E22">
        <w:t>, 04.03.2026, Жители ХМАО вложили в программу долгосрочных сбережений 11,6 млрд рублей</w:t>
      </w:r>
      <w:bookmarkEnd w:id="81"/>
    </w:p>
    <w:p w14:paraId="3431B52F" w14:textId="77777777" w:rsidR="00573E22" w:rsidRPr="00573E22" w:rsidRDefault="00573E22" w:rsidP="00573E22">
      <w:pPr>
        <w:pStyle w:val="3"/>
      </w:pPr>
      <w:bookmarkStart w:id="82" w:name="_Toc223591127"/>
      <w:r w:rsidRPr="00573E22">
        <w:t xml:space="preserve">Жители Югры заключили больше всего договоров по программе долгосрочных сбережений (ПДС) среди всех регионов тюменской «матрешки». По данным на начало января 2026 года, </w:t>
      </w:r>
      <w:proofErr w:type="spellStart"/>
      <w:r w:rsidRPr="00573E22">
        <w:t>югорчане</w:t>
      </w:r>
      <w:proofErr w:type="spellEnd"/>
      <w:r w:rsidRPr="00573E22">
        <w:t xml:space="preserve"> оформили 191 тысячу договоров и перечислили в негосударственные пенсионные фонды 11,6 миллиарда рублей.</w:t>
      </w:r>
      <w:bookmarkEnd w:id="82"/>
    </w:p>
    <w:p w14:paraId="1C93C312" w14:textId="77777777" w:rsidR="00573E22" w:rsidRPr="00573E22" w:rsidRDefault="00573E22" w:rsidP="00573E22">
      <w:r w:rsidRPr="00573E22">
        <w:t xml:space="preserve">Жители юга Тюменской области заключили 139 тысяч договоров на сумму около восьми миллиардов, </w:t>
      </w:r>
      <w:proofErr w:type="spellStart"/>
      <w:r w:rsidRPr="00573E22">
        <w:t>ямальцы</w:t>
      </w:r>
      <w:proofErr w:type="spellEnd"/>
      <w:r w:rsidRPr="00573E22">
        <w:t xml:space="preserve"> – 21 тысячу договоров на 3,5 миллиарда рублей.</w:t>
      </w:r>
    </w:p>
    <w:p w14:paraId="4136E0EA" w14:textId="77777777" w:rsidR="00573E22" w:rsidRPr="00573E22" w:rsidRDefault="00573E22" w:rsidP="00573E22">
      <w:r w:rsidRPr="00573E22">
        <w:t>Всего же в программу, которая заработала в России с января 2024 года, жители трех регионов вложили 23 миллиарда рублей.</w:t>
      </w:r>
    </w:p>
    <w:p w14:paraId="6C9C9CF9" w14:textId="77777777" w:rsidR="00573E22" w:rsidRPr="00573E22" w:rsidRDefault="00573E22" w:rsidP="00573E22">
      <w:r w:rsidRPr="00573E22">
        <w:t>ПДС — это добровольный сберегательный продукт, с помощью можно создать финансовую подушку безопасности или накопить на дополнительную пенсию.</w:t>
      </w:r>
    </w:p>
    <w:p w14:paraId="3A4DE0BC" w14:textId="77777777" w:rsidR="00573E22" w:rsidRPr="00573E22" w:rsidRDefault="00573E22" w:rsidP="00573E22">
      <w:r w:rsidRPr="00573E22">
        <w:t xml:space="preserve">«Вступившие в программу имеют право на налоговый вычет и </w:t>
      </w:r>
      <w:proofErr w:type="spellStart"/>
      <w:r w:rsidRPr="00573E22">
        <w:t>софинансирование</w:t>
      </w:r>
      <w:proofErr w:type="spellEnd"/>
      <w:r w:rsidRPr="00573E22">
        <w:t xml:space="preserve"> от государства до 36 тысяч рублей в год в течение десяти лет. Средства в программе, </w:t>
      </w:r>
      <w:r w:rsidRPr="00573E22">
        <w:lastRenderedPageBreak/>
        <w:t>включая доход от их инвестирования, застрахованы государством на сумму 2,8 млн рублей», – пояснила управляющий Отделением Банка России по Тюменской области Елена Никитина.</w:t>
      </w:r>
    </w:p>
    <w:p w14:paraId="5EB573B2" w14:textId="73AA522C" w:rsidR="00573E22" w:rsidRPr="00573E22" w:rsidRDefault="00573E22" w:rsidP="00573E22">
      <w:r w:rsidRPr="00573E22">
        <w:t>Ежемесячные выплаты по программе назначаются через 15 лет с момента заключения договора или по достижении 55 лет (женщины) и 60 лет (мужчины).</w:t>
      </w:r>
    </w:p>
    <w:p w14:paraId="09E06F13" w14:textId="56CF1B64" w:rsidR="00573E22" w:rsidRPr="00573E22" w:rsidRDefault="000D71EB" w:rsidP="00573E22">
      <w:hyperlink r:id="rId25" w:history="1">
        <w:r w:rsidR="00573E22" w:rsidRPr="00C91C33">
          <w:rPr>
            <w:rStyle w:val="a3"/>
            <w:lang w:val="en-US"/>
          </w:rPr>
          <w:t>https</w:t>
        </w:r>
        <w:r w:rsidR="00573E22" w:rsidRPr="00573E22">
          <w:rPr>
            <w:rStyle w:val="a3"/>
          </w:rPr>
          <w:t>://</w:t>
        </w:r>
        <w:r w:rsidR="00573E22" w:rsidRPr="00C91C33">
          <w:rPr>
            <w:rStyle w:val="a3"/>
            <w:lang w:val="en-US"/>
          </w:rPr>
          <w:t>in</w:t>
        </w:r>
        <w:r w:rsidR="00573E22" w:rsidRPr="00573E22">
          <w:rPr>
            <w:rStyle w:val="a3"/>
          </w:rPr>
          <w:t>-</w:t>
        </w:r>
        <w:r w:rsidR="00573E22" w:rsidRPr="00C91C33">
          <w:rPr>
            <w:rStyle w:val="a3"/>
            <w:lang w:val="en-US"/>
          </w:rPr>
          <w:t>news</w:t>
        </w:r>
        <w:r w:rsidR="00573E22" w:rsidRPr="00573E22">
          <w:rPr>
            <w:rStyle w:val="a3"/>
          </w:rPr>
          <w:t>.</w:t>
        </w:r>
        <w:proofErr w:type="spellStart"/>
        <w:r w:rsidR="00573E22" w:rsidRPr="00C91C33">
          <w:rPr>
            <w:rStyle w:val="a3"/>
            <w:lang w:val="en-US"/>
          </w:rPr>
          <w:t>ru</w:t>
        </w:r>
        <w:proofErr w:type="spellEnd"/>
        <w:r w:rsidR="00573E22" w:rsidRPr="00573E22">
          <w:rPr>
            <w:rStyle w:val="a3"/>
          </w:rPr>
          <w:t>/</w:t>
        </w:r>
        <w:r w:rsidR="00573E22" w:rsidRPr="00C91C33">
          <w:rPr>
            <w:rStyle w:val="a3"/>
            <w:lang w:val="en-US"/>
          </w:rPr>
          <w:t>news</w:t>
        </w:r>
        <w:r w:rsidR="00573E22" w:rsidRPr="00573E22">
          <w:rPr>
            <w:rStyle w:val="a3"/>
          </w:rPr>
          <w:t>/</w:t>
        </w:r>
        <w:proofErr w:type="spellStart"/>
        <w:r w:rsidR="00573E22" w:rsidRPr="00C91C33">
          <w:rPr>
            <w:rStyle w:val="a3"/>
            <w:lang w:val="en-US"/>
          </w:rPr>
          <w:t>zhiteli</w:t>
        </w:r>
        <w:proofErr w:type="spellEnd"/>
        <w:r w:rsidR="00573E22" w:rsidRPr="00573E22">
          <w:rPr>
            <w:rStyle w:val="a3"/>
          </w:rPr>
          <w:t>-</w:t>
        </w:r>
        <w:proofErr w:type="spellStart"/>
        <w:r w:rsidR="00573E22" w:rsidRPr="00C91C33">
          <w:rPr>
            <w:rStyle w:val="a3"/>
            <w:lang w:val="en-US"/>
          </w:rPr>
          <w:t>khmao</w:t>
        </w:r>
        <w:proofErr w:type="spellEnd"/>
        <w:r w:rsidR="00573E22" w:rsidRPr="00573E22">
          <w:rPr>
            <w:rStyle w:val="a3"/>
          </w:rPr>
          <w:t>-</w:t>
        </w:r>
        <w:proofErr w:type="spellStart"/>
        <w:r w:rsidR="00573E22" w:rsidRPr="00C91C33">
          <w:rPr>
            <w:rStyle w:val="a3"/>
            <w:lang w:val="en-US"/>
          </w:rPr>
          <w:t>vlozhili</w:t>
        </w:r>
        <w:proofErr w:type="spellEnd"/>
        <w:r w:rsidR="00573E22" w:rsidRPr="00573E22">
          <w:rPr>
            <w:rStyle w:val="a3"/>
          </w:rPr>
          <w:t>-</w:t>
        </w:r>
        <w:r w:rsidR="00573E22" w:rsidRPr="00C91C33">
          <w:rPr>
            <w:rStyle w:val="a3"/>
            <w:lang w:val="en-US"/>
          </w:rPr>
          <w:t>v</w:t>
        </w:r>
        <w:r w:rsidR="00573E22" w:rsidRPr="00573E22">
          <w:rPr>
            <w:rStyle w:val="a3"/>
          </w:rPr>
          <w:t>-</w:t>
        </w:r>
        <w:proofErr w:type="spellStart"/>
        <w:r w:rsidR="00573E22" w:rsidRPr="00C91C33">
          <w:rPr>
            <w:rStyle w:val="a3"/>
            <w:lang w:val="en-US"/>
          </w:rPr>
          <w:t>programmu</w:t>
        </w:r>
        <w:proofErr w:type="spellEnd"/>
        <w:r w:rsidR="00573E22" w:rsidRPr="00573E22">
          <w:rPr>
            <w:rStyle w:val="a3"/>
          </w:rPr>
          <w:t>-</w:t>
        </w:r>
        <w:proofErr w:type="spellStart"/>
        <w:r w:rsidR="00573E22" w:rsidRPr="00C91C33">
          <w:rPr>
            <w:rStyle w:val="a3"/>
            <w:lang w:val="en-US"/>
          </w:rPr>
          <w:t>dolgosrochnykh</w:t>
        </w:r>
        <w:proofErr w:type="spellEnd"/>
        <w:r w:rsidR="00573E22" w:rsidRPr="00573E22">
          <w:rPr>
            <w:rStyle w:val="a3"/>
          </w:rPr>
          <w:t>-</w:t>
        </w:r>
        <w:proofErr w:type="spellStart"/>
        <w:r w:rsidR="00573E22" w:rsidRPr="00C91C33">
          <w:rPr>
            <w:rStyle w:val="a3"/>
            <w:lang w:val="en-US"/>
          </w:rPr>
          <w:t>sberezheniy</w:t>
        </w:r>
        <w:proofErr w:type="spellEnd"/>
        <w:r w:rsidR="00573E22" w:rsidRPr="00573E22">
          <w:rPr>
            <w:rStyle w:val="a3"/>
          </w:rPr>
          <w:t>-11-6-</w:t>
        </w:r>
        <w:proofErr w:type="spellStart"/>
        <w:r w:rsidR="00573E22" w:rsidRPr="00C91C33">
          <w:rPr>
            <w:rStyle w:val="a3"/>
            <w:lang w:val="en-US"/>
          </w:rPr>
          <w:t>mlrd</w:t>
        </w:r>
        <w:proofErr w:type="spellEnd"/>
        <w:r w:rsidR="00573E22" w:rsidRPr="00573E22">
          <w:rPr>
            <w:rStyle w:val="a3"/>
          </w:rPr>
          <w:t>-</w:t>
        </w:r>
        <w:proofErr w:type="spellStart"/>
        <w:r w:rsidR="00573E22" w:rsidRPr="00C91C33">
          <w:rPr>
            <w:rStyle w:val="a3"/>
            <w:lang w:val="en-US"/>
          </w:rPr>
          <w:t>rubley</w:t>
        </w:r>
        <w:proofErr w:type="spellEnd"/>
        <w:r w:rsidR="00573E22" w:rsidRPr="00573E22">
          <w:rPr>
            <w:rStyle w:val="a3"/>
          </w:rPr>
          <w:t>-/</w:t>
        </w:r>
      </w:hyperlink>
      <w:r w:rsidR="00573E22" w:rsidRPr="00573E22">
        <w:t xml:space="preserve"> </w:t>
      </w:r>
    </w:p>
    <w:p w14:paraId="4BDA3A02" w14:textId="77777777" w:rsidR="00706CC3" w:rsidRPr="002F64E6" w:rsidRDefault="00706CC3" w:rsidP="00706CC3">
      <w:pPr>
        <w:pStyle w:val="2"/>
      </w:pPr>
      <w:bookmarkStart w:id="83" w:name="_Toc223591128"/>
      <w:r w:rsidRPr="002F64E6">
        <w:t>Восток-</w:t>
      </w:r>
      <w:proofErr w:type="spellStart"/>
      <w:r w:rsidRPr="002F64E6">
        <w:t>Телеинформ</w:t>
      </w:r>
      <w:proofErr w:type="spellEnd"/>
      <w:r w:rsidRPr="002F64E6">
        <w:t>, 04.03.2026, ВТБ в Бурятии: Объем сбережений населения в прошлом году вырос на треть</w:t>
      </w:r>
      <w:bookmarkEnd w:id="83"/>
    </w:p>
    <w:p w14:paraId="0DF040D0" w14:textId="77777777" w:rsidR="00706CC3" w:rsidRPr="002F64E6" w:rsidRDefault="00706CC3" w:rsidP="003F5B32">
      <w:pPr>
        <w:pStyle w:val="3"/>
      </w:pPr>
      <w:bookmarkStart w:id="84" w:name="_Toc223591129"/>
      <w:r w:rsidRPr="002F64E6">
        <w:t xml:space="preserve">Объем накоплений розничных клиентов ВТБ в Бурятии по итогам 2025 года показал рост на 34%, превысив 41 млрд рублей. Около 35 млрд рублей из этой суммы размещено на депозитах. Об этом сообщила Инесса </w:t>
      </w:r>
      <w:proofErr w:type="spellStart"/>
      <w:r w:rsidRPr="002F64E6">
        <w:t>Лхасаранова</w:t>
      </w:r>
      <w:proofErr w:type="spellEnd"/>
      <w:r w:rsidRPr="002F64E6">
        <w:t>, управляющий ВТБ в Республике Бурятия.</w:t>
      </w:r>
      <w:bookmarkEnd w:id="84"/>
    </w:p>
    <w:p w14:paraId="54F3161F" w14:textId="77777777" w:rsidR="00706CC3" w:rsidRPr="002F64E6" w:rsidRDefault="00706CC3" w:rsidP="00706CC3">
      <w:r w:rsidRPr="002F64E6">
        <w:t>По статистике банка в четвертом квартале наблюдался всплеск активности вкладчиков, пик которой пришелся на декабрь. На фоне высоких ставок по накопительным продуктам в последний месяц года рублевые сбережения продемонстрировали устойчивый рост. Предпочтение клиенты отдавали краткосрочным депозитам на срок 3-4 месяца.</w:t>
      </w:r>
    </w:p>
    <w:p w14:paraId="0CA483B3" w14:textId="128785AD" w:rsidR="00706CC3" w:rsidRPr="002F64E6" w:rsidRDefault="00E77AB9" w:rsidP="00706CC3">
      <w:r>
        <w:t>«</w:t>
      </w:r>
      <w:r w:rsidR="00706CC3" w:rsidRPr="002F64E6">
        <w:t xml:space="preserve">Мы видим, что высокие ставки </w:t>
      </w:r>
      <w:proofErr w:type="gramStart"/>
      <w:r w:rsidR="00706CC3" w:rsidRPr="002F64E6">
        <w:t>по депозитом</w:t>
      </w:r>
      <w:proofErr w:type="gramEnd"/>
      <w:r w:rsidR="00706CC3" w:rsidRPr="002F64E6">
        <w:t xml:space="preserve"> сформировали у жителей Бурятии устойчивую привычку к накоплению и более взвешенному управлению личными финансами. За год объем депозитов увеличился на 30%, объем инвестиционных продуктов увеличился более, чем на 60%. Вместе с тем, по мнению наших аналитиков, в 2026 году фокус будет меняться. Если раньше многие откладывали крупные покупки, то теперь решение текущих финансовых вопросов семьи выйдет на первый план на фоне снижения доходности по вкладам. Кроме того, мы прогнозируем постепенный </w:t>
      </w:r>
      <w:proofErr w:type="spellStart"/>
      <w:r w:rsidR="00706CC3" w:rsidRPr="002F64E6">
        <w:t>переток</w:t>
      </w:r>
      <w:proofErr w:type="spellEnd"/>
      <w:r w:rsidR="00706CC3" w:rsidRPr="002F64E6">
        <w:t xml:space="preserve"> средств в инвестиционные инструменты</w:t>
      </w:r>
      <w:r>
        <w:t>»</w:t>
      </w:r>
      <w:r w:rsidR="00706CC3" w:rsidRPr="002F64E6">
        <w:t xml:space="preserve">, – рассказала Инесса </w:t>
      </w:r>
      <w:proofErr w:type="spellStart"/>
      <w:r w:rsidR="00706CC3" w:rsidRPr="002F64E6">
        <w:t>Лхасаранова</w:t>
      </w:r>
      <w:proofErr w:type="spellEnd"/>
      <w:r w:rsidR="00706CC3" w:rsidRPr="002F64E6">
        <w:t>.</w:t>
      </w:r>
    </w:p>
    <w:p w14:paraId="1E5D14BD" w14:textId="77777777" w:rsidR="00706CC3" w:rsidRPr="002F64E6" w:rsidRDefault="00706CC3" w:rsidP="00706CC3">
      <w:r w:rsidRPr="002F64E6">
        <w:t xml:space="preserve">Рост интереса к инвестициям стал заметен во второй половине года, что может быть связано с замедлением динамики доходности по вкладам. По словам Инессы </w:t>
      </w:r>
      <w:proofErr w:type="spellStart"/>
      <w:r w:rsidRPr="002F64E6">
        <w:t>Лхасарановой</w:t>
      </w:r>
      <w:proofErr w:type="spellEnd"/>
      <w:r w:rsidRPr="002F64E6">
        <w:t>, население все больше обращает внимание на доступные инвестиционные предложения на рынке: программу долгосрочных сбережений, паевые инвестиционные фонды, программы инвестиционного и накопительного страхования жизни.</w:t>
      </w:r>
    </w:p>
    <w:p w14:paraId="73F15EAA" w14:textId="77777777" w:rsidR="00706CC3" w:rsidRPr="002F64E6" w:rsidRDefault="00706CC3" w:rsidP="00706CC3">
      <w:r w:rsidRPr="002F64E6">
        <w:t>По оценкам аналитиков ВТБ, максимальный уровень ставок по депозитам уже пройден: банковский сектор переходит к постепенному снижению. Тем не менее до конца года ставки сохранятся на двузначном уровне. Вкладчики по-прежнему отдают предпочтение краткосрочным продуктам на 3-4 месяца, а также проявляют интерес к накопительным счетам, позволяющим гибко распоряжаться средствами в повседневной жизни.</w:t>
      </w:r>
    </w:p>
    <w:p w14:paraId="4A922DEC" w14:textId="173BBA3A" w:rsidR="00E610A4" w:rsidRPr="002F64E6" w:rsidRDefault="000D71EB" w:rsidP="00706CC3">
      <w:hyperlink r:id="rId26" w:history="1">
        <w:r w:rsidR="00706CC3" w:rsidRPr="002F64E6">
          <w:rPr>
            <w:rStyle w:val="a3"/>
          </w:rPr>
          <w:t>https://vtinform.com/news/142/224147/</w:t>
        </w:r>
      </w:hyperlink>
    </w:p>
    <w:p w14:paraId="04F62A08" w14:textId="77777777" w:rsidR="00706CC3" w:rsidRPr="002F64E6" w:rsidRDefault="00706CC3" w:rsidP="00706CC3"/>
    <w:p w14:paraId="61C77DB8" w14:textId="77777777" w:rsidR="00111D7C" w:rsidRPr="002F64E6" w:rsidRDefault="00111D7C" w:rsidP="00111D7C">
      <w:pPr>
        <w:pStyle w:val="10"/>
      </w:pPr>
      <w:bookmarkStart w:id="85" w:name="_Toc165991074"/>
      <w:bookmarkStart w:id="86" w:name="_Toc223591130"/>
      <w:r w:rsidRPr="002F64E6">
        <w:lastRenderedPageBreak/>
        <w:t>Новости развития системы обязательного пенсионного страхования и страховой пенсии</w:t>
      </w:r>
      <w:bookmarkEnd w:id="37"/>
      <w:bookmarkEnd w:id="38"/>
      <w:bookmarkEnd w:id="39"/>
      <w:bookmarkEnd w:id="85"/>
      <w:bookmarkEnd w:id="86"/>
    </w:p>
    <w:p w14:paraId="3E5FA260" w14:textId="77777777" w:rsidR="00452B19" w:rsidRPr="002F64E6" w:rsidRDefault="00452B19" w:rsidP="00452B19">
      <w:pPr>
        <w:pStyle w:val="2"/>
      </w:pPr>
      <w:bookmarkStart w:id="87" w:name="ф7"/>
      <w:bookmarkStart w:id="88" w:name="_Toc223591131"/>
      <w:bookmarkEnd w:id="87"/>
      <w:r w:rsidRPr="002F64E6">
        <w:t xml:space="preserve">ТАСС, 04.03.2026, Депутат </w:t>
      </w:r>
      <w:proofErr w:type="spellStart"/>
      <w:r w:rsidRPr="002F64E6">
        <w:t>Говырин</w:t>
      </w:r>
      <w:proofErr w:type="spellEnd"/>
      <w:r w:rsidRPr="002F64E6">
        <w:t xml:space="preserve"> рассказал, какие виды пенсионных выплат увеличат с 1 апреля</w:t>
      </w:r>
      <w:bookmarkEnd w:id="88"/>
    </w:p>
    <w:p w14:paraId="75E5143D" w14:textId="7C18126B" w:rsidR="00452B19" w:rsidRPr="002F64E6" w:rsidRDefault="00452B19" w:rsidP="003F5B32">
      <w:pPr>
        <w:pStyle w:val="3"/>
      </w:pPr>
      <w:bookmarkStart w:id="89" w:name="_Toc223591132"/>
      <w:r w:rsidRPr="002F64E6">
        <w:t xml:space="preserve">Ряд пенсионных выплат в России будет увеличен с 1 апреля 2026 года – это касается социальных, государственных и страховых пенсий, рассказал ТАСС член комитета Госдумы по малому и среднему предпринимательству Алексей </w:t>
      </w:r>
      <w:proofErr w:type="spellStart"/>
      <w:r w:rsidRPr="002F64E6">
        <w:t>Говырин</w:t>
      </w:r>
      <w:proofErr w:type="spellEnd"/>
      <w:r w:rsidRPr="002F64E6">
        <w:t xml:space="preserve"> (фракция </w:t>
      </w:r>
      <w:r w:rsidR="00E77AB9">
        <w:t>«</w:t>
      </w:r>
      <w:r w:rsidRPr="002F64E6">
        <w:t>Единая Россия</w:t>
      </w:r>
      <w:r w:rsidR="00E77AB9">
        <w:t>»</w:t>
      </w:r>
      <w:r w:rsidRPr="002F64E6">
        <w:t>).</w:t>
      </w:r>
      <w:bookmarkEnd w:id="89"/>
    </w:p>
    <w:p w14:paraId="7046606B" w14:textId="246EF532" w:rsidR="00452B19" w:rsidRPr="002F64E6" w:rsidRDefault="00E77AB9" w:rsidP="00452B19">
      <w:r>
        <w:t>«</w:t>
      </w:r>
      <w:r w:rsidR="00452B19" w:rsidRPr="002F64E6">
        <w:t>С 1 апреля в России традиционно индексируют социальные пенсии, и 2026 год не исключение. Минтруд уже объявил ориентир: рост на 6,8%. На сайте Социального фонда эта же цифра указана пока как проектная, финальный коэффициент закрепляется отдельным постановлением правительства. Но сам порядок давно устоявшийся: социальные пенсии индексируются ежегодно с 1 апреля на уровень роста прожиточного минимума пенсионера за предыдущий год</w:t>
      </w:r>
      <w:r>
        <w:t>»</w:t>
      </w:r>
      <w:r w:rsidR="00452B19" w:rsidRPr="002F64E6">
        <w:t>, - пояснил он.</w:t>
      </w:r>
    </w:p>
    <w:p w14:paraId="56EDD73D" w14:textId="67AC3A18" w:rsidR="00452B19" w:rsidRPr="002F64E6" w:rsidRDefault="00452B19" w:rsidP="00452B19">
      <w:r w:rsidRPr="002F64E6">
        <w:t xml:space="preserve">Если считать по объявленным 6,8%, то базовая социальная пенсия по старости вырастет примерно с 8 824 до 9 424 рублей, подсчитал </w:t>
      </w:r>
      <w:proofErr w:type="spellStart"/>
      <w:r w:rsidRPr="002F64E6">
        <w:t>Говырин</w:t>
      </w:r>
      <w:proofErr w:type="spellEnd"/>
      <w:r w:rsidRPr="002F64E6">
        <w:t xml:space="preserve">. </w:t>
      </w:r>
      <w:r w:rsidR="00E77AB9">
        <w:t>«</w:t>
      </w:r>
      <w:r w:rsidRPr="002F64E6">
        <w:t>Социальная пенсия инвалида I группы с 17 648 до примерно 18 848 рублей. Социальная пенсия ребенка-инвалида или инвалида с детства I группы с 21 178 до примерно 22 618 рублей. Это ориентировочные суммы до публикации финального коэффициента</w:t>
      </w:r>
      <w:r w:rsidR="00E77AB9">
        <w:t>»</w:t>
      </w:r>
      <w:r w:rsidRPr="002F64E6">
        <w:t>, - сообщил он.</w:t>
      </w:r>
    </w:p>
    <w:p w14:paraId="7D672E6D" w14:textId="7F4D3AE3" w:rsidR="00452B19" w:rsidRPr="002F64E6" w:rsidRDefault="00452B19" w:rsidP="00452B19">
      <w:r w:rsidRPr="002F64E6">
        <w:t xml:space="preserve">Вместе с социальными пенсиями индексируются и государственные пенсии: для участников Великой Отечественной войны, граждан со знаками </w:t>
      </w:r>
      <w:r w:rsidR="00E77AB9">
        <w:t>«</w:t>
      </w:r>
      <w:r w:rsidRPr="002F64E6">
        <w:t>Жителю блокадного Ленинграда</w:t>
      </w:r>
      <w:r w:rsidR="00E77AB9">
        <w:t>»</w:t>
      </w:r>
      <w:r w:rsidRPr="002F64E6">
        <w:t xml:space="preserve">, </w:t>
      </w:r>
      <w:r w:rsidR="00E77AB9">
        <w:t>«</w:t>
      </w:r>
      <w:r w:rsidRPr="002F64E6">
        <w:t>Житель осажденного Севастополя</w:t>
      </w:r>
      <w:r w:rsidR="00E77AB9">
        <w:t>»</w:t>
      </w:r>
      <w:r w:rsidRPr="002F64E6">
        <w:t xml:space="preserve">, </w:t>
      </w:r>
      <w:r w:rsidR="00E77AB9">
        <w:t>«</w:t>
      </w:r>
      <w:r w:rsidRPr="002F64E6">
        <w:t>Житель осажденного Сталинграда</w:t>
      </w:r>
      <w:r w:rsidR="00E77AB9">
        <w:t>»</w:t>
      </w:r>
      <w:r w:rsidRPr="002F64E6">
        <w:t xml:space="preserve">, военнослужащих-призывников, пострадавших от радиации, космонавтов, летчиков-испытателей и ряда других категорий, указал депутат. </w:t>
      </w:r>
      <w:r w:rsidR="00E77AB9">
        <w:t>«</w:t>
      </w:r>
      <w:r w:rsidRPr="002F64E6">
        <w:t>Также к апрелю привязана индексация надбавки на уход за гражданами старше 80 лет, которая сейчас составляет 1 377 рублей, и дополнительного материального обеспечения неработающих матерей-героинь</w:t>
      </w:r>
      <w:r w:rsidR="00E77AB9">
        <w:t>»</w:t>
      </w:r>
      <w:r w:rsidRPr="002F64E6">
        <w:t>, - пояснил он.</w:t>
      </w:r>
    </w:p>
    <w:p w14:paraId="7A6D01AE" w14:textId="579767B9" w:rsidR="00452B19" w:rsidRPr="002F64E6" w:rsidRDefault="00452B19" w:rsidP="00452B19">
      <w:r w:rsidRPr="002F64E6">
        <w:t xml:space="preserve">Отдельная новость этого года касается страховых пенсий: с 2026 года возвращается их двухэтапная индексация, рассказал </w:t>
      </w:r>
      <w:proofErr w:type="spellStart"/>
      <w:r w:rsidRPr="002F64E6">
        <w:t>Говырин</w:t>
      </w:r>
      <w:proofErr w:type="spellEnd"/>
      <w:r w:rsidRPr="002F64E6">
        <w:t xml:space="preserve">. </w:t>
      </w:r>
      <w:r w:rsidR="00E77AB9">
        <w:t>«</w:t>
      </w:r>
      <w:r w:rsidRPr="002F64E6">
        <w:t>Первый этап уже прошел в январе: тогда страховые пенсии выросли на 7,6%, стоимость пенсионного коэффициента увеличилась с 145,69 до 156,76 рубля, а фиксированная выплата с 8 907,7 до 9 584,69 рубля. Второй этап предусмотрен именно с 1 апреля и касается только страховой части (той, что формируется за счет индивидуального пенсионного коэффициента). Но точный процент этой апрельской прибавки в официальных источниках пока не назван</w:t>
      </w:r>
      <w:r w:rsidR="00E77AB9">
        <w:t>»</w:t>
      </w:r>
      <w:r w:rsidRPr="002F64E6">
        <w:t xml:space="preserve">, - подчеркнул </w:t>
      </w:r>
      <w:proofErr w:type="spellStart"/>
      <w:r w:rsidRPr="002F64E6">
        <w:t>Говырин</w:t>
      </w:r>
      <w:proofErr w:type="spellEnd"/>
      <w:r w:rsidRPr="002F64E6">
        <w:t>.</w:t>
      </w:r>
    </w:p>
    <w:p w14:paraId="3D2EE0C6" w14:textId="61772483" w:rsidR="00111D7C" w:rsidRDefault="000D71EB" w:rsidP="00452B19">
      <w:hyperlink r:id="rId27" w:history="1">
        <w:r w:rsidR="00452B19" w:rsidRPr="002F64E6">
          <w:rPr>
            <w:rStyle w:val="a3"/>
          </w:rPr>
          <w:t>https://tass.ru/obschestvo/26637745</w:t>
        </w:r>
      </w:hyperlink>
    </w:p>
    <w:p w14:paraId="222B251E" w14:textId="2E229C93" w:rsidR="00F07806" w:rsidRDefault="00F07806" w:rsidP="00D45A28">
      <w:pPr>
        <w:pStyle w:val="2"/>
      </w:pPr>
      <w:bookmarkStart w:id="90" w:name="_Toc223591133"/>
      <w:r>
        <w:lastRenderedPageBreak/>
        <w:t>РИА Новости, 04.03.2026</w:t>
      </w:r>
      <w:r w:rsidR="00D45A28" w:rsidRPr="00D45A28">
        <w:t xml:space="preserve">, </w:t>
      </w:r>
      <w:r w:rsidR="00D45A28">
        <w:t>Голикова: переход к электронному взаимодействию архивов с россиянами завершен в 2025 г</w:t>
      </w:r>
      <w:bookmarkEnd w:id="90"/>
    </w:p>
    <w:p w14:paraId="6C3BB428" w14:textId="4BB5EA69" w:rsidR="00F07806" w:rsidRDefault="00F07806" w:rsidP="00F07806">
      <w:pPr>
        <w:pStyle w:val="3"/>
      </w:pPr>
      <w:bookmarkStart w:id="91" w:name="_Toc223591134"/>
      <w:r>
        <w:t>Многие запросы россиян, связанные с пенсионным обеспечением, исполнялись через Единую цифровую платформу в социальной сфере, сообщила вице-премьер РФ Татьяна Голикова.</w:t>
      </w:r>
      <w:bookmarkEnd w:id="91"/>
    </w:p>
    <w:p w14:paraId="497B4E94" w14:textId="77777777" w:rsidR="00F07806" w:rsidRDefault="00F07806" w:rsidP="00F07806">
      <w:r>
        <w:t xml:space="preserve">"Большая часть запросов граждан, связанных с их пенсионным обеспечением, исполнялась посредством Единой цифровой платформы в социальной сфере", - сказала Голикова на заседании коллегии </w:t>
      </w:r>
      <w:proofErr w:type="spellStart"/>
      <w:proofErr w:type="gramStart"/>
      <w:r>
        <w:t>Росархива</w:t>
      </w:r>
      <w:proofErr w:type="spellEnd"/>
      <w:r>
        <w:t xml:space="preserve"> .</w:t>
      </w:r>
      <w:proofErr w:type="gramEnd"/>
    </w:p>
    <w:p w14:paraId="626AF883" w14:textId="1A825AC3" w:rsidR="00F07806" w:rsidRPr="00C61E9A" w:rsidRDefault="00F07806" w:rsidP="00F07806">
      <w:r>
        <w:t>По ее словам, это повысило качество и оперативность пенсионного обслуживания. Кроме того, указала вице-премьер, с января 2024 года государственные и муниципальные архивы исполнили около 5 миллионов социально-правовых запросов, поступивших из территориальных органов Социального фонда России.</w:t>
      </w:r>
    </w:p>
    <w:p w14:paraId="41AE6E32" w14:textId="3681E559" w:rsidR="000E33F0" w:rsidRPr="000E33F0" w:rsidRDefault="000E33F0" w:rsidP="000E33F0">
      <w:pPr>
        <w:pStyle w:val="2"/>
      </w:pPr>
      <w:bookmarkStart w:id="92" w:name="_Toc223591135"/>
      <w:r w:rsidRPr="000E33F0">
        <w:t xml:space="preserve">РИА Новости, 04.03.2026, Председатель </w:t>
      </w:r>
      <w:proofErr w:type="spellStart"/>
      <w:r w:rsidRPr="000E33F0">
        <w:t>Соцфонда</w:t>
      </w:r>
      <w:proofErr w:type="spellEnd"/>
      <w:r w:rsidRPr="000E33F0">
        <w:t xml:space="preserve"> РФ Чирков заключил соглашение о сотрудничестве с главой Чувашии</w:t>
      </w:r>
      <w:bookmarkEnd w:id="92"/>
    </w:p>
    <w:p w14:paraId="5BC646F5" w14:textId="3A4E5069" w:rsidR="000E33F0" w:rsidRPr="000E33F0" w:rsidRDefault="000E33F0" w:rsidP="000E33F0">
      <w:pPr>
        <w:pStyle w:val="3"/>
      </w:pPr>
      <w:bookmarkStart w:id="93" w:name="_Toc223591136"/>
      <w:r w:rsidRPr="000E33F0">
        <w:t xml:space="preserve">Председатель </w:t>
      </w:r>
      <w:proofErr w:type="spellStart"/>
      <w:r w:rsidRPr="000E33F0">
        <w:t>Соцфонда</w:t>
      </w:r>
      <w:proofErr w:type="spellEnd"/>
      <w:r w:rsidRPr="000E33F0">
        <w:t xml:space="preserve"> РФ Сергей Чирков в рамках рабочего визита в Чувашскую Республику провел встречу с главой региона Олегом Николаевым, по итогам которой стороны подписали соглашение о сотрудничестве, сообщили в пресс-службе фонда.</w:t>
      </w:r>
      <w:bookmarkEnd w:id="93"/>
    </w:p>
    <w:p w14:paraId="609D1A31" w14:textId="77777777" w:rsidR="000E33F0" w:rsidRPr="000E33F0" w:rsidRDefault="000E33F0" w:rsidP="000E33F0">
      <w:r w:rsidRPr="000E33F0">
        <w:t xml:space="preserve">"В рамках рабочего визита в Чувашскую Республику председатель Социального фонда России Сергей Чирков провел встречу с главой региона Олегом </w:t>
      </w:r>
      <w:proofErr w:type="gramStart"/>
      <w:r w:rsidRPr="000E33F0">
        <w:t>Николаевым .</w:t>
      </w:r>
      <w:proofErr w:type="gramEnd"/>
      <w:r w:rsidRPr="000E33F0">
        <w:t xml:space="preserve"> Итогом переговоров стало подписание соглашения о сотрудничестве, которое определит векторы совместной работы по целому ряду направлений социальной политики", - говорится в сообщении.</w:t>
      </w:r>
    </w:p>
    <w:p w14:paraId="46192913" w14:textId="0602A6F1" w:rsidR="000E33F0" w:rsidRPr="000E33F0" w:rsidRDefault="000E33F0" w:rsidP="000E33F0">
      <w:r w:rsidRPr="000E33F0">
        <w:t>В пресс-службе уточнили, что документ расширит взаимодействие в вопросах обеспечения жителей Чувашии необходимыми мерами поддержки, включая пенсионное обеспечение и страховые выплаты. Особое внимание будет уделено помощи участникам спецоперации и членам их семей.</w:t>
      </w:r>
    </w:p>
    <w:p w14:paraId="3EB6E84B" w14:textId="77777777" w:rsidR="00452B19" w:rsidRPr="002F64E6" w:rsidRDefault="00452B19" w:rsidP="00452B19">
      <w:pPr>
        <w:pStyle w:val="2"/>
      </w:pPr>
      <w:bookmarkStart w:id="94" w:name="_Toc223591137"/>
      <w:r w:rsidRPr="002F64E6">
        <w:t xml:space="preserve">Ваш Пенсионный Брокер, 04.03.2026, </w:t>
      </w:r>
      <w:proofErr w:type="spellStart"/>
      <w:r w:rsidRPr="002F64E6">
        <w:t>Мишустин</w:t>
      </w:r>
      <w:proofErr w:type="spellEnd"/>
      <w:r w:rsidRPr="002F64E6">
        <w:t>: индексация социальных пенсий коснется более 4 млн россиян</w:t>
      </w:r>
      <w:bookmarkEnd w:id="94"/>
    </w:p>
    <w:p w14:paraId="09FA5739" w14:textId="77777777" w:rsidR="00452B19" w:rsidRPr="002F64E6" w:rsidRDefault="00452B19" w:rsidP="003F5B32">
      <w:pPr>
        <w:pStyle w:val="3"/>
      </w:pPr>
      <w:bookmarkStart w:id="95" w:name="_Toc223591138"/>
      <w:r w:rsidRPr="002F64E6">
        <w:t xml:space="preserve">Правительство России проиндексирует с 1 апреля социальные пенсии, мера затронет свыше четырех миллионов российских граждан. Об этом премьер-министр Михаил </w:t>
      </w:r>
      <w:proofErr w:type="spellStart"/>
      <w:r w:rsidRPr="002F64E6">
        <w:t>Мишустин</w:t>
      </w:r>
      <w:proofErr w:type="spellEnd"/>
      <w:r w:rsidRPr="002F64E6">
        <w:t xml:space="preserve"> заявил 2 марта на оперативном совещании с вице-премьерами.</w:t>
      </w:r>
      <w:bookmarkEnd w:id="95"/>
    </w:p>
    <w:p w14:paraId="63F0CE3E" w14:textId="77777777" w:rsidR="00452B19" w:rsidRPr="002F64E6" w:rsidRDefault="00452B19" w:rsidP="00452B19">
      <w:r w:rsidRPr="002F64E6">
        <w:t xml:space="preserve">Он напомнил, что в ходе выступления в Госдуме о работе Правительства за 2025 год отмечал, что доходы старшего поколения находятся на особом контроле </w:t>
      </w:r>
      <w:proofErr w:type="spellStart"/>
      <w:r w:rsidRPr="002F64E6">
        <w:t>кабмина</w:t>
      </w:r>
      <w:proofErr w:type="spellEnd"/>
      <w:r w:rsidRPr="002F64E6">
        <w:t>.</w:t>
      </w:r>
    </w:p>
    <w:p w14:paraId="282504A1" w14:textId="4F962C95" w:rsidR="00452B19" w:rsidRPr="002F64E6" w:rsidRDefault="00E77AB9" w:rsidP="00452B19">
      <w:r>
        <w:t>«</w:t>
      </w:r>
      <w:r w:rsidR="00452B19" w:rsidRPr="002F64E6">
        <w:t>С 1 января текущего года были увеличены страховые пенсии. Теперь - с 1 апреля - проиндексируем социальные пенсии. Прибавка коснется свыше четырех миллионов человек</w:t>
      </w:r>
      <w:r>
        <w:t>»</w:t>
      </w:r>
      <w:r w:rsidR="00452B19" w:rsidRPr="002F64E6">
        <w:t xml:space="preserve">, - приводит его слова пресс-служба </w:t>
      </w:r>
      <w:proofErr w:type="spellStart"/>
      <w:r w:rsidR="00452B19" w:rsidRPr="002F64E6">
        <w:t>кабмина</w:t>
      </w:r>
      <w:proofErr w:type="spellEnd"/>
      <w:r w:rsidR="00452B19" w:rsidRPr="002F64E6">
        <w:t>.</w:t>
      </w:r>
    </w:p>
    <w:p w14:paraId="2F2F61BE" w14:textId="77777777" w:rsidR="00452B19" w:rsidRPr="002F64E6" w:rsidRDefault="00452B19" w:rsidP="00452B19">
      <w:proofErr w:type="spellStart"/>
      <w:r w:rsidRPr="002F64E6">
        <w:lastRenderedPageBreak/>
        <w:t>Мишустин</w:t>
      </w:r>
      <w:proofErr w:type="spellEnd"/>
      <w:r w:rsidRPr="002F64E6">
        <w:t xml:space="preserve"> указал, что речь идет о людях с ограничениями по здоровью, детях-сиротах и потерявших кормильца, а также тех, у кого нет трудового стажа или его недостаточно для назначения страховой пенсии.</w:t>
      </w:r>
    </w:p>
    <w:p w14:paraId="47C573EA" w14:textId="77777777" w:rsidR="00452B19" w:rsidRPr="002F64E6" w:rsidRDefault="00452B19" w:rsidP="00452B19">
      <w:r w:rsidRPr="002F64E6">
        <w:t>Кроме того, продолжил премьер-министр, повысятся выплаты ветеранам Великой Отечественной войны, участникам добровольческих формирований в ДНР и ЛНР, ликвидаторам аварии на Чернобыльской АЭС и другим категориям.</w:t>
      </w:r>
    </w:p>
    <w:p w14:paraId="7CFCB331" w14:textId="3A038551" w:rsidR="00452B19" w:rsidRPr="002F64E6" w:rsidRDefault="00452B19" w:rsidP="00452B19">
      <w:r w:rsidRPr="002F64E6">
        <w:t xml:space="preserve">Глава </w:t>
      </w:r>
      <w:proofErr w:type="spellStart"/>
      <w:r w:rsidRPr="002F64E6">
        <w:t>кабмина</w:t>
      </w:r>
      <w:proofErr w:type="spellEnd"/>
      <w:r w:rsidRPr="002F64E6">
        <w:t xml:space="preserve"> подчеркнул, что все необходимое для выполнения социальных обязательств перед гражданами предусмотрено. </w:t>
      </w:r>
      <w:r w:rsidR="00E77AB9">
        <w:t>«</w:t>
      </w:r>
      <w:r w:rsidRPr="002F64E6">
        <w:t>Здесь важно, чтобы увеличенные выплаты люди получили четко и в срок</w:t>
      </w:r>
      <w:r w:rsidR="00E77AB9">
        <w:t>»</w:t>
      </w:r>
      <w:r w:rsidRPr="002F64E6">
        <w:t>, - обратил внимание он.</w:t>
      </w:r>
    </w:p>
    <w:p w14:paraId="1714A898" w14:textId="6E8D9014" w:rsidR="00452B19" w:rsidRPr="002F64E6" w:rsidRDefault="000D71EB" w:rsidP="00452B19">
      <w:hyperlink r:id="rId28" w:history="1">
        <w:r w:rsidR="00452B19" w:rsidRPr="002F64E6">
          <w:rPr>
            <w:rStyle w:val="a3"/>
          </w:rPr>
          <w:t>http://pbroker.ru/?p=81723</w:t>
        </w:r>
      </w:hyperlink>
    </w:p>
    <w:p w14:paraId="05474297" w14:textId="77777777" w:rsidR="00CB02E7" w:rsidRPr="002F64E6" w:rsidRDefault="00CB02E7" w:rsidP="00CB02E7">
      <w:pPr>
        <w:pStyle w:val="2"/>
      </w:pPr>
      <w:bookmarkStart w:id="96" w:name="_Toc223591139"/>
      <w:proofErr w:type="spellStart"/>
      <w:r w:rsidRPr="002F64E6">
        <w:t>ФедералПресс</w:t>
      </w:r>
      <w:proofErr w:type="spellEnd"/>
      <w:r w:rsidRPr="002F64E6">
        <w:t>, 04.03.2026, Россиянам увеличат пенсии с 1 апреля: какие выплаты вырастут</w:t>
      </w:r>
      <w:bookmarkEnd w:id="96"/>
    </w:p>
    <w:p w14:paraId="3041CC71" w14:textId="77777777" w:rsidR="00CB02E7" w:rsidRPr="002F64E6" w:rsidRDefault="00CB02E7" w:rsidP="003F5B32">
      <w:pPr>
        <w:pStyle w:val="3"/>
      </w:pPr>
      <w:bookmarkStart w:id="97" w:name="_Toc223591140"/>
      <w:r w:rsidRPr="002F64E6">
        <w:t xml:space="preserve">С 1 апреля 2026 года в России планируется повышение ряда пенсионных выплат. Речь идет о социальных и государственных пенсиях, а также о некоторых надбавках. Об этом сообщил член комитета Госдумы по малому и среднему предпринимательству Алексей </w:t>
      </w:r>
      <w:proofErr w:type="spellStart"/>
      <w:r w:rsidRPr="002F64E6">
        <w:t>Говырин</w:t>
      </w:r>
      <w:proofErr w:type="spellEnd"/>
      <w:r w:rsidRPr="002F64E6">
        <w:t>.</w:t>
      </w:r>
      <w:bookmarkEnd w:id="97"/>
      <w:r w:rsidRPr="002F64E6">
        <w:t xml:space="preserve"> </w:t>
      </w:r>
    </w:p>
    <w:p w14:paraId="19D25F91" w14:textId="4D4AC4E6" w:rsidR="00CB02E7" w:rsidRPr="002F64E6" w:rsidRDefault="00E77AB9" w:rsidP="00CB02E7">
      <w:r>
        <w:t>«</w:t>
      </w:r>
      <w:r w:rsidR="00CB02E7" w:rsidRPr="002F64E6">
        <w:t>С 1 апреля в России традиционно индексируют социальные пенсии, и 2026 год не исключение</w:t>
      </w:r>
      <w:r>
        <w:t>»</w:t>
      </w:r>
      <w:r w:rsidR="00CB02E7" w:rsidRPr="002F64E6">
        <w:t>, - сказал эксперт.</w:t>
      </w:r>
    </w:p>
    <w:p w14:paraId="36A906CF" w14:textId="77777777" w:rsidR="00CB02E7" w:rsidRPr="002F64E6" w:rsidRDefault="00CB02E7" w:rsidP="00CB02E7">
      <w:r w:rsidRPr="002F64E6">
        <w:t>По его словам, в Минтруде уже обозначили ориентир роста - около 6,8 %. Такая же цифра пока указана на сайте Социального фонда как проектная. Окончательный коэффициент индексации традиционно закрепляется отдельным постановлением правительства.</w:t>
      </w:r>
    </w:p>
    <w:p w14:paraId="0D76F178" w14:textId="77777777" w:rsidR="00CB02E7" w:rsidRPr="002F64E6" w:rsidRDefault="00CB02E7" w:rsidP="00CB02E7">
      <w:r w:rsidRPr="002F64E6">
        <w:t>Как пояснил депутат, размер повышения рассчитывается исходя из роста прожиточного минимума пенсионера за предыдущий год. Если ориентироваться на заявленные 6,8 %, базовая социальная пенсия по старости может увеличиться примерно с 8 824 до 9 424 рублей.</w:t>
      </w:r>
    </w:p>
    <w:p w14:paraId="271A39E6" w14:textId="77777777" w:rsidR="00CB02E7" w:rsidRPr="002F64E6" w:rsidRDefault="00CB02E7" w:rsidP="00CB02E7">
      <w:r w:rsidRPr="002F64E6">
        <w:t>Социальная пенсия для инвалидов первой группы, по предварительным расчетам, вырастет с 17 648 до примерно 18 848 рублей. Выплаты для детей-инвалидов и инвалидов с детства первой группы могут увеличиться с 21 178 до около 22 618 рублей. При этом парламентарий уточнил, что окончательные суммы будут известны после утверждения итогового коэффициента.</w:t>
      </w:r>
    </w:p>
    <w:p w14:paraId="342BF3F6" w14:textId="77777777" w:rsidR="00CB02E7" w:rsidRPr="002F64E6" w:rsidRDefault="00CB02E7" w:rsidP="00CB02E7">
      <w:r w:rsidRPr="002F64E6">
        <w:t>Одновременно с социальными пенсиями индексируются и государственные выплаты. Повышение затронет участников Великой Отечественной войны, жителей блокадного Ленинграда, осажденных Севастополя и Сталинграда, военнослужащих по призыву, пострадавших от радиационных катастроф, а также космонавтов и летчиков-испытателей.</w:t>
      </w:r>
    </w:p>
    <w:p w14:paraId="153B022E" w14:textId="77777777" w:rsidR="00CB02E7" w:rsidRPr="002F64E6" w:rsidRDefault="00CB02E7" w:rsidP="00CB02E7">
      <w:r w:rsidRPr="002F64E6">
        <w:t>Кроме того, к апрелю привязана индексация ряда дополнительных выплат. В частности, может увеличиться надбавка по уходу за гражданами старше 80 лет, которая сейчас составляет 1 377 рублей. Пересмотр также касается дополнительного материального обеспечения для неработающих матерей-героинь.</w:t>
      </w:r>
    </w:p>
    <w:p w14:paraId="13CF6213" w14:textId="77777777" w:rsidR="00CB02E7" w:rsidRPr="002F64E6" w:rsidRDefault="00CB02E7" w:rsidP="00CB02E7">
      <w:r w:rsidRPr="002F64E6">
        <w:t xml:space="preserve">Отдельно депутат напомнил, что в 2026 году вновь действует двухэтапная индексация страховых пенсий. Первый этап уже прошел в январе. Тогда выплаты выросли на 7,6 %, </w:t>
      </w:r>
      <w:r w:rsidRPr="002F64E6">
        <w:lastRenderedPageBreak/>
        <w:t>а стоимость пенсионного коэффициента увеличилась с 145,69 до 156,76 рубля. Фиксированная выплата к страховой пенсии поднялась с 8 907,7 до 9 584,69 рубля.</w:t>
      </w:r>
    </w:p>
    <w:p w14:paraId="15F231B2" w14:textId="77777777" w:rsidR="00CB02E7" w:rsidRPr="002F64E6" w:rsidRDefault="00CB02E7" w:rsidP="00CB02E7">
      <w:r w:rsidRPr="002F64E6">
        <w:t>Второй этап индексации страховой части пенсии предусмотрен с 1 апреля. Он затрагивает ту часть выплаты, которая формируется за счет индивидуального пенсионного коэффициента. При этом точный процент повышения на данный момент официально не объявлен.</w:t>
      </w:r>
    </w:p>
    <w:p w14:paraId="07693563" w14:textId="77777777" w:rsidR="00CB02E7" w:rsidRPr="002F64E6" w:rsidRDefault="00CB02E7" w:rsidP="00CB02E7">
      <w:r w:rsidRPr="002F64E6">
        <w:t>Ранее сообщалось, что у части россиян размер пенсионных выплат в марте может увеличиться почти на 10 тысяч рублей.</w:t>
      </w:r>
    </w:p>
    <w:p w14:paraId="27D334D9" w14:textId="40CD933B" w:rsidR="00CB02E7" w:rsidRPr="002F64E6" w:rsidRDefault="000D71EB" w:rsidP="00CB02E7">
      <w:hyperlink r:id="rId29" w:history="1">
        <w:r w:rsidR="00CB02E7" w:rsidRPr="002F64E6">
          <w:rPr>
            <w:rStyle w:val="a3"/>
          </w:rPr>
          <w:t>https://fedpress.ru/news/77/society/3427638</w:t>
        </w:r>
      </w:hyperlink>
      <w:r w:rsidR="00CB02E7" w:rsidRPr="002F64E6">
        <w:t xml:space="preserve"> </w:t>
      </w:r>
    </w:p>
    <w:p w14:paraId="39C1660E" w14:textId="77777777" w:rsidR="002D1A7F" w:rsidRPr="002F64E6" w:rsidRDefault="002D1A7F" w:rsidP="002D1A7F">
      <w:pPr>
        <w:pStyle w:val="2"/>
      </w:pPr>
      <w:bookmarkStart w:id="98" w:name="_Toc223591141"/>
      <w:proofErr w:type="spellStart"/>
      <w:r w:rsidRPr="002F64E6">
        <w:t>Frank</w:t>
      </w:r>
      <w:proofErr w:type="spellEnd"/>
      <w:r w:rsidRPr="002F64E6">
        <w:t xml:space="preserve"> </w:t>
      </w:r>
      <w:proofErr w:type="spellStart"/>
      <w:r w:rsidRPr="002F64E6">
        <w:t>Media</w:t>
      </w:r>
      <w:proofErr w:type="spellEnd"/>
      <w:r w:rsidRPr="002F64E6">
        <w:t>, 04.03.2026, Фиксированная выплата к страховой пенсии в 2026 году: сколько платят и кому</w:t>
      </w:r>
      <w:bookmarkEnd w:id="98"/>
    </w:p>
    <w:p w14:paraId="4B74E859" w14:textId="77777777" w:rsidR="002D1A7F" w:rsidRPr="002F64E6" w:rsidRDefault="002D1A7F" w:rsidP="003F5B32">
      <w:pPr>
        <w:pStyle w:val="3"/>
      </w:pPr>
      <w:bookmarkStart w:id="99" w:name="_Toc223591142"/>
      <w:r w:rsidRPr="002F64E6">
        <w:t>Фиксированная выплата – это часть страховой пенсии, которая гарантирована государством. В этой статье вы узнаете, кому она положена, как формируется её размер, какие надбавки могут увеличить выплату, как проверять стаж и иждивенцев, как действует индексация и на что обратить внимание, чтобы получать полную сумму.</w:t>
      </w:r>
      <w:bookmarkEnd w:id="99"/>
    </w:p>
    <w:p w14:paraId="5F028030" w14:textId="77777777" w:rsidR="002D1A7F" w:rsidRPr="002F64E6" w:rsidRDefault="002D1A7F" w:rsidP="002D1A7F">
      <w:r w:rsidRPr="002F64E6">
        <w:t>1.</w:t>
      </w:r>
      <w:r w:rsidRPr="002F64E6">
        <w:tab/>
        <w:t>Что такое</w:t>
      </w:r>
    </w:p>
    <w:p w14:paraId="7DFC93D1" w14:textId="77777777" w:rsidR="002D1A7F" w:rsidRPr="002F64E6" w:rsidRDefault="002D1A7F" w:rsidP="002D1A7F">
      <w:r w:rsidRPr="002F64E6">
        <w:t>2.</w:t>
      </w:r>
      <w:r w:rsidRPr="002F64E6">
        <w:tab/>
        <w:t>Кому положена</w:t>
      </w:r>
    </w:p>
    <w:p w14:paraId="5DBFA5B8" w14:textId="77777777" w:rsidR="002D1A7F" w:rsidRPr="002F64E6" w:rsidRDefault="002D1A7F" w:rsidP="002D1A7F">
      <w:r w:rsidRPr="002F64E6">
        <w:t>3.</w:t>
      </w:r>
      <w:r w:rsidRPr="002F64E6">
        <w:tab/>
        <w:t>Размер</w:t>
      </w:r>
    </w:p>
    <w:p w14:paraId="1C457A28" w14:textId="77777777" w:rsidR="002D1A7F" w:rsidRPr="002F64E6" w:rsidRDefault="002D1A7F" w:rsidP="002D1A7F">
      <w:r w:rsidRPr="002F64E6">
        <w:t>4.</w:t>
      </w:r>
      <w:r w:rsidRPr="002F64E6">
        <w:tab/>
        <w:t>Коэффициенты</w:t>
      </w:r>
    </w:p>
    <w:p w14:paraId="306C231A" w14:textId="77777777" w:rsidR="002D1A7F" w:rsidRPr="002F64E6" w:rsidRDefault="002D1A7F" w:rsidP="002D1A7F">
      <w:r w:rsidRPr="002F64E6">
        <w:t>5.</w:t>
      </w:r>
      <w:r w:rsidRPr="002F64E6">
        <w:tab/>
        <w:t>Изменения</w:t>
      </w:r>
    </w:p>
    <w:p w14:paraId="3F8B7CBB" w14:textId="77777777" w:rsidR="002D1A7F" w:rsidRPr="002F64E6" w:rsidRDefault="002D1A7F" w:rsidP="002D1A7F">
      <w:r w:rsidRPr="002F64E6">
        <w:t>6.</w:t>
      </w:r>
      <w:r w:rsidRPr="002F64E6">
        <w:tab/>
        <w:t>Как получить</w:t>
      </w:r>
    </w:p>
    <w:p w14:paraId="653CD511" w14:textId="77777777" w:rsidR="002D1A7F" w:rsidRPr="002F64E6" w:rsidRDefault="002D1A7F" w:rsidP="002D1A7F">
      <w:r w:rsidRPr="002F64E6">
        <w:t>7.</w:t>
      </w:r>
      <w:r w:rsidRPr="002F64E6">
        <w:tab/>
        <w:t>Вопросы</w:t>
      </w:r>
    </w:p>
    <w:p w14:paraId="69C6E3C9" w14:textId="77777777" w:rsidR="002D1A7F" w:rsidRPr="002F64E6" w:rsidRDefault="002D1A7F" w:rsidP="002D1A7F">
      <w:r w:rsidRPr="002F64E6">
        <w:t>8.</w:t>
      </w:r>
      <w:r w:rsidRPr="002F64E6">
        <w:tab/>
        <w:t>Главное</w:t>
      </w:r>
    </w:p>
    <w:p w14:paraId="0E1D8478" w14:textId="77777777" w:rsidR="002D1A7F" w:rsidRPr="002F64E6" w:rsidRDefault="002D1A7F" w:rsidP="002D1A7F">
      <w:r w:rsidRPr="002F64E6">
        <w:t>Что такое фиксированная выплата к страховой пенсии</w:t>
      </w:r>
    </w:p>
    <w:p w14:paraId="1D6F9908" w14:textId="71AD3F70" w:rsidR="002D1A7F" w:rsidRPr="002F64E6" w:rsidRDefault="002D1A7F" w:rsidP="002D1A7F">
      <w:r w:rsidRPr="002F64E6">
        <w:t xml:space="preserve">Фиксированная выплата к страховой пенсии - это установленная государством базовая сумма, которая входит в состав страховой пенсии. Она назначается одновременно с пенсией автоматически, без отдельного заявления, и ежегодно увеличивается с учётом индексации, говорит управляющий партнер юридической компании </w:t>
      </w:r>
      <w:r w:rsidR="00E77AB9">
        <w:t>«</w:t>
      </w:r>
      <w:r w:rsidRPr="002F64E6">
        <w:t>ЭНСО</w:t>
      </w:r>
      <w:r w:rsidR="00E77AB9">
        <w:t>»</w:t>
      </w:r>
      <w:r w:rsidRPr="002F64E6">
        <w:t xml:space="preserve"> Алексей Головченко.</w:t>
      </w:r>
    </w:p>
    <w:p w14:paraId="5D4E8C8A" w14:textId="77777777" w:rsidR="002D1A7F" w:rsidRPr="002F64E6" w:rsidRDefault="002D1A7F" w:rsidP="002D1A7F">
      <w:r w:rsidRPr="002F64E6">
        <w:t>Минимальная пенсия в России в 2026 году: какая в Москве и регионах</w:t>
      </w:r>
    </w:p>
    <w:p w14:paraId="297272A9" w14:textId="77777777" w:rsidR="002D1A7F" w:rsidRPr="002F64E6" w:rsidRDefault="002D1A7F" w:rsidP="002D1A7F">
      <w:r w:rsidRPr="002F64E6">
        <w:t>Финансирование осуществляется за счёт страховых взносов и средств федерального бюджета [1]. Размер выплаты может быть повышен при наличии оснований - например, при инвалидности, наличии иждивенцев, северном стаже или проживании в районах Крайнего Севера.</w:t>
      </w:r>
    </w:p>
    <w:p w14:paraId="26A57FC8" w14:textId="77777777" w:rsidR="002D1A7F" w:rsidRPr="002F64E6" w:rsidRDefault="002D1A7F" w:rsidP="002D1A7F">
      <w:r w:rsidRPr="002F64E6">
        <w:t>Чем фиксированная выплата отличается от страховой части</w:t>
      </w:r>
    </w:p>
    <w:p w14:paraId="3623F2F3" w14:textId="77777777" w:rsidR="002D1A7F" w:rsidRPr="002F64E6" w:rsidRDefault="002D1A7F" w:rsidP="002D1A7F">
      <w:r w:rsidRPr="002F64E6">
        <w:t xml:space="preserve">Размер страховой части пенсии рассчитывается индивидуально. Он зависит от количества накопленных пенсионных коэффициентов, продолжительности </w:t>
      </w:r>
      <w:r w:rsidRPr="002F64E6">
        <w:lastRenderedPageBreak/>
        <w:t>официального стажа, установленной стоимости одного пенсионного балла и года выхода на пенсию - поскольку именно в этот момент фиксируется актуальная стоимость коэффициента [2].</w:t>
      </w:r>
    </w:p>
    <w:p w14:paraId="1C2C1F35" w14:textId="77777777" w:rsidR="002D1A7F" w:rsidRPr="002F64E6" w:rsidRDefault="002D1A7F" w:rsidP="002D1A7F">
      <w:r w:rsidRPr="002F64E6">
        <w:t>Что такое страховая премия и как ее рассчитать</w:t>
      </w:r>
    </w:p>
    <w:p w14:paraId="63B6004E" w14:textId="77777777" w:rsidR="002D1A7F" w:rsidRPr="002F64E6" w:rsidRDefault="002D1A7F" w:rsidP="002D1A7F">
      <w:r w:rsidRPr="002F64E6">
        <w:t>Фиксированная выплата устроена иначе. Она устанавливается в твёрдом размере, ежегодно индексируется государством и может быть увеличена при наличии предусмотренных законом оснований.</w:t>
      </w:r>
    </w:p>
    <w:p w14:paraId="5836982F" w14:textId="77777777" w:rsidR="002D1A7F" w:rsidRPr="002F64E6" w:rsidRDefault="002D1A7F" w:rsidP="002D1A7F">
      <w:r w:rsidRPr="002F64E6">
        <w:t>Именно эта часть пенсии чаще всего вызывает вопросы: сколько она составляет, от чего зависит её итоговый размер и почему у разных пенсионеров сумма может отличаться.</w:t>
      </w:r>
    </w:p>
    <w:p w14:paraId="417939D6" w14:textId="77777777" w:rsidR="002D1A7F" w:rsidRPr="002F64E6" w:rsidRDefault="002D1A7F" w:rsidP="002D1A7F">
      <w:r w:rsidRPr="002F64E6">
        <w:t>Кому положена фиксированная выплата к страховой пенсии</w:t>
      </w:r>
    </w:p>
    <w:p w14:paraId="62AC9CC2" w14:textId="77777777" w:rsidR="002D1A7F" w:rsidRPr="002F64E6" w:rsidRDefault="002D1A7F" w:rsidP="002D1A7F">
      <w:r w:rsidRPr="002F64E6">
        <w:t>Фиксированная выплата назначается всем получателям страховой пенсии.</w:t>
      </w:r>
    </w:p>
    <w:p w14:paraId="1306AC66" w14:textId="77777777" w:rsidR="002D1A7F" w:rsidRPr="002F64E6" w:rsidRDefault="002D1A7F" w:rsidP="002D1A7F">
      <w:r w:rsidRPr="002F64E6">
        <w:t>По старости</w:t>
      </w:r>
    </w:p>
    <w:p w14:paraId="02108A71" w14:textId="77777777" w:rsidR="002D1A7F" w:rsidRPr="002F64E6" w:rsidRDefault="002D1A7F" w:rsidP="002D1A7F">
      <w:r w:rsidRPr="002F64E6">
        <w:t>Чтобы в 2026 году была назначена страховая пенсия по старости, необходимо выполнить несколько условий: достичь установленного пенсионного возраста, иметь минимальный страховой стаж и набрать требуемое количество пенсионных коэффициентов.</w:t>
      </w:r>
    </w:p>
    <w:p w14:paraId="4F9BCC2B" w14:textId="77777777" w:rsidR="002D1A7F" w:rsidRPr="002F64E6" w:rsidRDefault="002D1A7F" w:rsidP="002D1A7F">
      <w:r w:rsidRPr="002F64E6">
        <w:t>Пенсионные баллы: сколько нужно для пенсии и можно ли их купить</w:t>
      </w:r>
    </w:p>
    <w:p w14:paraId="26F47387" w14:textId="77777777" w:rsidR="002D1A7F" w:rsidRPr="002F64E6" w:rsidRDefault="002D1A7F" w:rsidP="002D1A7F">
      <w:r w:rsidRPr="002F64E6">
        <w:t>Если эти требования соблюдены и страховая пенсия по старости назначена, фиксированная выплата устанавливается автоматически - дополнительно обращаться за ней не нужно [3].</w:t>
      </w:r>
    </w:p>
    <w:p w14:paraId="0B00CDB9" w14:textId="77777777" w:rsidR="002D1A7F" w:rsidRPr="002F64E6" w:rsidRDefault="002D1A7F" w:rsidP="002D1A7F">
      <w:r w:rsidRPr="002F64E6">
        <w:t>По инвалидности</w:t>
      </w:r>
    </w:p>
    <w:p w14:paraId="38E0F737" w14:textId="77777777" w:rsidR="002D1A7F" w:rsidRPr="002F64E6" w:rsidRDefault="002D1A7F" w:rsidP="002D1A7F">
      <w:r w:rsidRPr="002F64E6">
        <w:t>Страховая пенсия по инвалидности также состоит из страховой части и фиксированной выплаты. Эта выплата устанавливается одновременно с назначением пенсии и входит в её общий размер.</w:t>
      </w:r>
    </w:p>
    <w:p w14:paraId="2978DDFC" w14:textId="77777777" w:rsidR="002D1A7F" w:rsidRPr="002F64E6" w:rsidRDefault="002D1A7F" w:rsidP="002D1A7F">
      <w:r w:rsidRPr="002F64E6">
        <w:t>Сумма фиксированной выплаты зависит от установленной группы инвалидности. Для инвалидности I группы предусмотрен повышенный размер - как правило, вдвое больше базового. При II группе применяется стандартный базовый размер. Для III группы фиксированная выплата составляет 50% от базовой суммы.</w:t>
      </w:r>
    </w:p>
    <w:p w14:paraId="1CE8E0B2" w14:textId="77777777" w:rsidR="002D1A7F" w:rsidRPr="002F64E6" w:rsidRDefault="002D1A7F" w:rsidP="002D1A7F">
      <w:r w:rsidRPr="002F64E6">
        <w:t>Размер фиксированной выплаты к страховой пенсии в 2026 году</w:t>
      </w:r>
    </w:p>
    <w:p w14:paraId="2D00BF78" w14:textId="77777777" w:rsidR="002D1A7F" w:rsidRPr="002F64E6" w:rsidRDefault="002D1A7F" w:rsidP="002D1A7F">
      <w:r w:rsidRPr="002F64E6">
        <w:t>Сколько составляет фиксированная выплата в 2026 году</w:t>
      </w:r>
    </w:p>
    <w:p w14:paraId="10BE17EB" w14:textId="77777777" w:rsidR="002D1A7F" w:rsidRPr="002F64E6" w:rsidRDefault="002D1A7F" w:rsidP="002D1A7F">
      <w:r w:rsidRPr="002F64E6">
        <w:t>С 1 января 2026 года страховые пенсии планируется проиндексировать на 7,6%. Базовый размер фиксированной выплаты формируется федеральным законом о бюджете Социального фонда России (СФР) и зависит от уровня инфляции и экономических показателей.</w:t>
      </w:r>
    </w:p>
    <w:p w14:paraId="67A8441F" w14:textId="77777777" w:rsidR="002D1A7F" w:rsidRPr="002F64E6" w:rsidRDefault="002D1A7F" w:rsidP="002D1A7F">
      <w:r w:rsidRPr="002F64E6">
        <w:t>Пенсионный возраст в России: кто и когда сможет выйти на пенсию в 2026 году</w:t>
      </w:r>
    </w:p>
    <w:p w14:paraId="3D4A4A7B" w14:textId="77777777" w:rsidR="002D1A7F" w:rsidRPr="002F64E6" w:rsidRDefault="002D1A7F" w:rsidP="002D1A7F">
      <w:r w:rsidRPr="002F64E6">
        <w:t>Точная сумма утверждается ежегодно. В 2025 году базовая фиксированная выплата составляла 8 907,70 рублей. В 2026 году ее размер был увеличен до 9 584,69 рубля. Одновременно повысилась стоимость одного пенсионного коэффициента - до 156,76 рубля.</w:t>
      </w:r>
    </w:p>
    <w:p w14:paraId="661815C4" w14:textId="77777777" w:rsidR="002D1A7F" w:rsidRPr="002F64E6" w:rsidRDefault="002D1A7F" w:rsidP="002D1A7F">
      <w:r w:rsidRPr="002F64E6">
        <w:t>Как индексируется фиксированная выплата</w:t>
      </w:r>
    </w:p>
    <w:p w14:paraId="4507EC2D" w14:textId="77777777" w:rsidR="002D1A7F" w:rsidRPr="002F64E6" w:rsidRDefault="002D1A7F" w:rsidP="002D1A7F">
      <w:r w:rsidRPr="002F64E6">
        <w:lastRenderedPageBreak/>
        <w:t>Индексация фиксированной выплаты проводится ежегодно с 1 января. Государство утверждает коэффициент индексации, после чего установленный базовый размер умножается на этот коэффициент. В результате определяется новая сумма, которая начинает применяться ко всем получателям страховой пенсии.</w:t>
      </w:r>
    </w:p>
    <w:p w14:paraId="5BFC4A5F" w14:textId="77777777" w:rsidR="002D1A7F" w:rsidRPr="002F64E6" w:rsidRDefault="002D1A7F" w:rsidP="002D1A7F">
      <w:r w:rsidRPr="002F64E6">
        <w:t>Повышающие коэффициенты к фиксированной выплате</w:t>
      </w:r>
    </w:p>
    <w:p w14:paraId="78BDF80C" w14:textId="77777777" w:rsidR="002D1A7F" w:rsidRPr="002F64E6" w:rsidRDefault="002D1A7F" w:rsidP="002D1A7F">
      <w:r w:rsidRPr="002F64E6">
        <w:t>Фиксированная выплата может быть увеличена при наличии оснований.</w:t>
      </w:r>
    </w:p>
    <w:p w14:paraId="2AE1E6E3" w14:textId="77777777" w:rsidR="002D1A7F" w:rsidRPr="002F64E6" w:rsidRDefault="002D1A7F" w:rsidP="002D1A7F">
      <w:r w:rsidRPr="002F64E6">
        <w:t>Могут ли приставы арестовать пенсию и что делать, если заблокировали пенсионную карту</w:t>
      </w:r>
    </w:p>
    <w:p w14:paraId="37635620" w14:textId="77777777" w:rsidR="002D1A7F" w:rsidRPr="002F64E6" w:rsidRDefault="002D1A7F" w:rsidP="002D1A7F">
      <w:r w:rsidRPr="002F64E6">
        <w:t>Северный стаж и проживание на Севере</w:t>
      </w:r>
    </w:p>
    <w:p w14:paraId="78EBE449" w14:textId="77777777" w:rsidR="002D1A7F" w:rsidRPr="002F64E6" w:rsidRDefault="002D1A7F" w:rsidP="002D1A7F">
      <w:r w:rsidRPr="002F64E6">
        <w:t>Если пенсионер проживает в районах Крайнего Севера или имеет необходимый северный стаж, применяется районный коэффициент. Это означает, что базовая сумма умножается на установленный коэффициент региона. После переезда в другой регион коэффициент может измениться.</w:t>
      </w:r>
    </w:p>
    <w:p w14:paraId="0CA1BC7C" w14:textId="77777777" w:rsidR="002D1A7F" w:rsidRPr="002F64E6" w:rsidRDefault="002D1A7F" w:rsidP="002D1A7F">
      <w:r w:rsidRPr="002F64E6">
        <w:t>Инвалидность I группы</w:t>
      </w:r>
    </w:p>
    <w:p w14:paraId="33C88D2E" w14:textId="77777777" w:rsidR="002D1A7F" w:rsidRPr="002F64E6" w:rsidRDefault="002D1A7F" w:rsidP="002D1A7F">
      <w:r w:rsidRPr="002F64E6">
        <w:t>Пенсионерам с I группой инвалидности фиксированная выплата устанавливается в двойном размере. Это предусмотрено статьёй 17 закона № 400-ФЗ [4].</w:t>
      </w:r>
    </w:p>
    <w:p w14:paraId="2FDCF707" w14:textId="77777777" w:rsidR="002D1A7F" w:rsidRPr="002F64E6" w:rsidRDefault="002D1A7F" w:rsidP="002D1A7F">
      <w:r w:rsidRPr="002F64E6">
        <w:t>Может ли измениться фиксированная выплата к страховой пенсии</w:t>
      </w:r>
    </w:p>
    <w:p w14:paraId="4AFD8ECD" w14:textId="77777777" w:rsidR="002D1A7F" w:rsidRPr="002F64E6" w:rsidRDefault="002D1A7F" w:rsidP="002D1A7F">
      <w:r w:rsidRPr="002F64E6">
        <w:t>Сумма может увеличиться или измениться в следующих случаях:</w:t>
      </w:r>
    </w:p>
    <w:p w14:paraId="7C5C1E58" w14:textId="77777777" w:rsidR="002D1A7F" w:rsidRPr="002F64E6" w:rsidRDefault="002D1A7F" w:rsidP="002D1A7F">
      <w:r w:rsidRPr="002F64E6">
        <w:t>•</w:t>
      </w:r>
      <w:r w:rsidRPr="002F64E6">
        <w:tab/>
        <w:t>установление инвалидности,</w:t>
      </w:r>
    </w:p>
    <w:p w14:paraId="750507EF" w14:textId="77777777" w:rsidR="002D1A7F" w:rsidRPr="002F64E6" w:rsidRDefault="002D1A7F" w:rsidP="002D1A7F">
      <w:r w:rsidRPr="002F64E6">
        <w:t>•</w:t>
      </w:r>
      <w:r w:rsidRPr="002F64E6">
        <w:tab/>
        <w:t>достижение 80 лет,</w:t>
      </w:r>
    </w:p>
    <w:p w14:paraId="5D0E404D" w14:textId="77777777" w:rsidR="002D1A7F" w:rsidRPr="002F64E6" w:rsidRDefault="002D1A7F" w:rsidP="002D1A7F">
      <w:r w:rsidRPr="002F64E6">
        <w:t>•</w:t>
      </w:r>
      <w:r w:rsidRPr="002F64E6">
        <w:tab/>
        <w:t>появление иждивенцев,</w:t>
      </w:r>
    </w:p>
    <w:p w14:paraId="06C5BA25" w14:textId="77777777" w:rsidR="002D1A7F" w:rsidRPr="002F64E6" w:rsidRDefault="002D1A7F" w:rsidP="002D1A7F">
      <w:r w:rsidRPr="002F64E6">
        <w:t>•</w:t>
      </w:r>
      <w:r w:rsidRPr="002F64E6">
        <w:tab/>
        <w:t>переезд в северный регион,</w:t>
      </w:r>
    </w:p>
    <w:p w14:paraId="6A82CDB1" w14:textId="77777777" w:rsidR="002D1A7F" w:rsidRPr="002F64E6" w:rsidRDefault="002D1A7F" w:rsidP="002D1A7F">
      <w:r w:rsidRPr="002F64E6">
        <w:t>•</w:t>
      </w:r>
      <w:r w:rsidRPr="002F64E6">
        <w:tab/>
        <w:t>подтверждение северного стажа.</w:t>
      </w:r>
    </w:p>
    <w:p w14:paraId="3719FE9B" w14:textId="77777777" w:rsidR="002D1A7F" w:rsidRPr="002F64E6" w:rsidRDefault="002D1A7F" w:rsidP="002D1A7F">
      <w:r w:rsidRPr="002F64E6">
        <w:t>В редких случаях возможно уменьшение - например, при переезде из северного региона в обычный.</w:t>
      </w:r>
    </w:p>
    <w:p w14:paraId="7B494B15" w14:textId="77777777" w:rsidR="002D1A7F" w:rsidRPr="002F64E6" w:rsidRDefault="002D1A7F" w:rsidP="002D1A7F">
      <w:r w:rsidRPr="002F64E6">
        <w:t>Все об индексации пенсий в 2026 году: кому и насколько их повысят</w:t>
      </w:r>
    </w:p>
    <w:p w14:paraId="45D26F79" w14:textId="77777777" w:rsidR="002D1A7F" w:rsidRPr="002F64E6" w:rsidRDefault="002D1A7F" w:rsidP="002D1A7F">
      <w:r w:rsidRPr="002F64E6">
        <w:t>Как получить фиксированную выплату</w:t>
      </w:r>
    </w:p>
    <w:p w14:paraId="350B3EC3" w14:textId="77777777" w:rsidR="002D1A7F" w:rsidRPr="002F64E6" w:rsidRDefault="002D1A7F" w:rsidP="002D1A7F">
      <w:r w:rsidRPr="002F64E6">
        <w:t>При назначении страховой пенсии фиксированная выплата устанавливается автоматически и отдельно оформлять её не требуется.</w:t>
      </w:r>
    </w:p>
    <w:p w14:paraId="0B739576" w14:textId="77777777" w:rsidR="002D1A7F" w:rsidRPr="002F64E6" w:rsidRDefault="002D1A7F" w:rsidP="002D1A7F">
      <w:r w:rsidRPr="002F64E6">
        <w:t>Дополнительные документы могут понадобиться в случаях, когда нужно подтвердить право на повышение суммы. Например, если учитывается северный стаж, устанавливается инвалидность или заявляется наличие иждивенцев.</w:t>
      </w:r>
    </w:p>
    <w:p w14:paraId="6C398271" w14:textId="77777777" w:rsidR="002D1A7F" w:rsidRPr="002F64E6" w:rsidRDefault="002D1A7F" w:rsidP="002D1A7F">
      <w:r w:rsidRPr="002F64E6">
        <w:t>В каких странах нет пенсии и почему</w:t>
      </w:r>
    </w:p>
    <w:p w14:paraId="754E1A31" w14:textId="77777777" w:rsidR="002D1A7F" w:rsidRPr="002F64E6" w:rsidRDefault="002D1A7F" w:rsidP="002D1A7F">
      <w:r w:rsidRPr="002F64E6">
        <w:t>Во всех подобных ситуациях обращаться следует в Социальный фонд России, который проводит перерасчёт и принимает необходимые подтверждающие документы.</w:t>
      </w:r>
    </w:p>
    <w:p w14:paraId="504FAE6E" w14:textId="77777777" w:rsidR="002D1A7F" w:rsidRPr="002F64E6" w:rsidRDefault="002D1A7F" w:rsidP="002D1A7F">
      <w:r w:rsidRPr="002F64E6">
        <w:t>Частые вопросы о фиксированной выплате к страховой пенсии: комментарии эксперта</w:t>
      </w:r>
    </w:p>
    <w:p w14:paraId="1BE389B4" w14:textId="77777777" w:rsidR="002D1A7F" w:rsidRPr="002F64E6" w:rsidRDefault="002D1A7F" w:rsidP="002D1A7F">
      <w:r w:rsidRPr="002F64E6">
        <w:lastRenderedPageBreak/>
        <w:t>Какие ошибки чаще всего допускают пенсионеры при назначении повышенной выплаты?</w:t>
      </w:r>
    </w:p>
    <w:p w14:paraId="03268CC5" w14:textId="77777777" w:rsidR="002D1A7F" w:rsidRPr="002F64E6" w:rsidRDefault="002D1A7F" w:rsidP="002D1A7F">
      <w:r w:rsidRPr="002F64E6">
        <w:t>Часто не подтверждают право на надбавки - например, не предоставляют документы о северном стаже или иждивенцах, объясняет Головченко. В результате сумма оказывается ниже возможной. Ещё одна распространённая ситуация - отсутствие проверки расчётов Социального фонда, из-за чего могут не применить районный коэффициент или не учесть отдельные периоды стажа.</w:t>
      </w:r>
    </w:p>
    <w:p w14:paraId="78F314E4" w14:textId="77777777" w:rsidR="002D1A7F" w:rsidRPr="002F64E6" w:rsidRDefault="002D1A7F" w:rsidP="002D1A7F">
      <w:r w:rsidRPr="002F64E6">
        <w:t>Можно ли подтвердить северный стаж без трудовой книжки?</w:t>
      </w:r>
    </w:p>
    <w:p w14:paraId="207558EE" w14:textId="77777777" w:rsidR="002D1A7F" w:rsidRPr="002F64E6" w:rsidRDefault="002D1A7F" w:rsidP="002D1A7F">
      <w:r w:rsidRPr="002F64E6">
        <w:t>Да. Подойдут архивные справки, выписки из приказов, личные дела, свидетельства о работе в северных районах или ответы бывших работодателей. При утрате трудовой книжки подаётся заявление в СФР, а фонд самостоятельно запрашивает подтверждения в архивах и организациях.</w:t>
      </w:r>
    </w:p>
    <w:p w14:paraId="50E174CE" w14:textId="77777777" w:rsidR="002D1A7F" w:rsidRPr="002F64E6" w:rsidRDefault="002D1A7F" w:rsidP="002D1A7F">
      <w:r w:rsidRPr="002F64E6">
        <w:t>Будут ли выплачивать пособия и пенсии цифровыми рублями</w:t>
      </w:r>
    </w:p>
    <w:p w14:paraId="744AF493" w14:textId="77777777" w:rsidR="002D1A7F" w:rsidRPr="002F64E6" w:rsidRDefault="002D1A7F" w:rsidP="002D1A7F">
      <w:r w:rsidRPr="002F64E6">
        <w:t>Какие документы нужны для назначения надбавки за иждивенцев?</w:t>
      </w:r>
    </w:p>
    <w:p w14:paraId="7A95A143" w14:textId="77777777" w:rsidR="002D1A7F" w:rsidRPr="002F64E6" w:rsidRDefault="002D1A7F" w:rsidP="002D1A7F">
      <w:r w:rsidRPr="002F64E6">
        <w:t>Обычно требуются справка о составе семьи, свидетельство о рождении ребёнка, а для студентов старше 18 лет - справка об очном обучении. В отношении взрослых иждивенцев могут понадобиться документы, подтверждающие совместное проживание и отсутствие самостоятельного дохода. Без подтверждающих документов повышение не назначается.</w:t>
      </w:r>
    </w:p>
    <w:p w14:paraId="59587CE7" w14:textId="77777777" w:rsidR="002D1A7F" w:rsidRPr="002F64E6" w:rsidRDefault="002D1A7F" w:rsidP="002D1A7F">
      <w:r w:rsidRPr="002F64E6">
        <w:t>Как оспорить отказ СФР в перерасчёте?</w:t>
      </w:r>
    </w:p>
    <w:p w14:paraId="32BC839C" w14:textId="77777777" w:rsidR="002D1A7F" w:rsidRPr="002F64E6" w:rsidRDefault="002D1A7F" w:rsidP="002D1A7F">
      <w:r w:rsidRPr="002F64E6">
        <w:t>Сначала подаётся жалоба в вышестоящий орган СФР с требованием письменного разъяснения расчёта. Если вопрос не решён, возможно обращение в суд в административном порядке. Госпошлина в таких делах не уплачивается, а при подтверждении права можно добиться доплаты за предыдущие годы.</w:t>
      </w:r>
    </w:p>
    <w:p w14:paraId="0511BB69" w14:textId="0D97142A" w:rsidR="002D1A7F" w:rsidRPr="002F64E6" w:rsidRDefault="002D1A7F" w:rsidP="002D1A7F">
      <w:r w:rsidRPr="002F64E6">
        <w:t xml:space="preserve">Как начать получать пенсию на карту: через </w:t>
      </w:r>
      <w:r w:rsidR="00E77AB9">
        <w:t>«</w:t>
      </w:r>
      <w:proofErr w:type="spellStart"/>
      <w:r w:rsidRPr="002F64E6">
        <w:t>Госуслуги</w:t>
      </w:r>
      <w:proofErr w:type="spellEnd"/>
      <w:r w:rsidR="00E77AB9">
        <w:t>»</w:t>
      </w:r>
      <w:r w:rsidRPr="002F64E6">
        <w:t xml:space="preserve"> и МФЦ</w:t>
      </w:r>
    </w:p>
    <w:p w14:paraId="144F666A" w14:textId="77777777" w:rsidR="002D1A7F" w:rsidRPr="002F64E6" w:rsidRDefault="002D1A7F" w:rsidP="002D1A7F">
      <w:r w:rsidRPr="002F64E6">
        <w:t>Главное о фиксированной выплате к страховой пенсии в 2026 году</w:t>
      </w:r>
    </w:p>
    <w:p w14:paraId="4518BDFC" w14:textId="77777777" w:rsidR="002D1A7F" w:rsidRPr="002F64E6" w:rsidRDefault="002D1A7F" w:rsidP="002D1A7F">
      <w:r w:rsidRPr="002F64E6">
        <w:t>•</w:t>
      </w:r>
      <w:r w:rsidRPr="002F64E6">
        <w:tab/>
        <w:t>Фиксированная выплата - это базовая часть страховой пенсии, назначаемая автоматически всем пенсионерам.</w:t>
      </w:r>
    </w:p>
    <w:p w14:paraId="613D3F57" w14:textId="77777777" w:rsidR="002D1A7F" w:rsidRPr="002F64E6" w:rsidRDefault="002D1A7F" w:rsidP="002D1A7F">
      <w:r w:rsidRPr="002F64E6">
        <w:t>•</w:t>
      </w:r>
      <w:r w:rsidRPr="002F64E6">
        <w:tab/>
        <w:t>С 1 января 2026 года её размер составляет 9 584,69 рубля, с учётом индексации на 7,6%.</w:t>
      </w:r>
    </w:p>
    <w:p w14:paraId="05B3E1CC" w14:textId="77777777" w:rsidR="002D1A7F" w:rsidRPr="002F64E6" w:rsidRDefault="002D1A7F" w:rsidP="002D1A7F">
      <w:r w:rsidRPr="002F64E6">
        <w:t>•</w:t>
      </w:r>
      <w:r w:rsidRPr="002F64E6">
        <w:tab/>
        <w:t>Выплата ежегодно индексируется, дополнительное заявление для этого не требуется.</w:t>
      </w:r>
    </w:p>
    <w:p w14:paraId="60EA05E1" w14:textId="77777777" w:rsidR="002D1A7F" w:rsidRPr="002F64E6" w:rsidRDefault="002D1A7F" w:rsidP="002D1A7F">
      <w:r w:rsidRPr="002F64E6">
        <w:t>•</w:t>
      </w:r>
      <w:r w:rsidRPr="002F64E6">
        <w:tab/>
        <w:t>Размер может увеличиваться при инвалидности I группы, наличии иждивенцев, северном стаже или проживании на Севере.</w:t>
      </w:r>
    </w:p>
    <w:p w14:paraId="0CF0807A" w14:textId="77777777" w:rsidR="002D1A7F" w:rsidRPr="002F64E6" w:rsidRDefault="002D1A7F" w:rsidP="002D1A7F">
      <w:r w:rsidRPr="002F64E6">
        <w:t>•</w:t>
      </w:r>
      <w:r w:rsidRPr="002F64E6">
        <w:tab/>
        <w:t>Надбавка за северный стаж сохраняется при переезде, районный коэффициент зависит от места проживания.</w:t>
      </w:r>
    </w:p>
    <w:p w14:paraId="017D85D7" w14:textId="77777777" w:rsidR="002D1A7F" w:rsidRPr="002F64E6" w:rsidRDefault="002D1A7F" w:rsidP="002D1A7F">
      <w:r w:rsidRPr="002F64E6">
        <w:t>•</w:t>
      </w:r>
      <w:r w:rsidRPr="002F64E6">
        <w:tab/>
        <w:t>При изменении обстоятельств (инвалидность, иждивенцы, переезд) может потребоваться подтверждение документов через СФР.</w:t>
      </w:r>
    </w:p>
    <w:p w14:paraId="47844174" w14:textId="77777777" w:rsidR="002D1A7F" w:rsidRPr="002F64E6" w:rsidRDefault="002D1A7F" w:rsidP="002D1A7F">
      <w:r w:rsidRPr="002F64E6">
        <w:t>•</w:t>
      </w:r>
      <w:r w:rsidRPr="002F64E6">
        <w:tab/>
        <w:t>Для инвалидности I группы фиксированная выплата устанавливается в двойном размере.</w:t>
      </w:r>
    </w:p>
    <w:p w14:paraId="6DE5BFC4" w14:textId="480D3AF5" w:rsidR="00452B19" w:rsidRPr="00245810" w:rsidRDefault="000D71EB" w:rsidP="002D1A7F">
      <w:hyperlink r:id="rId30" w:history="1">
        <w:r w:rsidR="002D1A7F" w:rsidRPr="002F64E6">
          <w:rPr>
            <w:rStyle w:val="a3"/>
          </w:rPr>
          <w:t>https://frankmedia.ru/264952</w:t>
        </w:r>
      </w:hyperlink>
    </w:p>
    <w:p w14:paraId="0359FFD2" w14:textId="077744B3" w:rsidR="00245810" w:rsidRPr="00C61E9A" w:rsidRDefault="00245810" w:rsidP="00245810">
      <w:pPr>
        <w:pStyle w:val="2"/>
      </w:pPr>
      <w:bookmarkStart w:id="100" w:name="_Toc223591143"/>
      <w:r w:rsidRPr="00245810">
        <w:t>АиФ, 04.03.2026</w:t>
      </w:r>
      <w:r w:rsidRPr="00C61E9A">
        <w:t xml:space="preserve">, </w:t>
      </w:r>
      <w:r w:rsidRPr="00245810">
        <w:t>Кому повысят пенсию в апреле 2026 года?</w:t>
      </w:r>
      <w:bookmarkEnd w:id="100"/>
    </w:p>
    <w:p w14:paraId="5E1674C5" w14:textId="77777777" w:rsidR="00245810" w:rsidRPr="00245810" w:rsidRDefault="00245810" w:rsidP="00245810">
      <w:pPr>
        <w:pStyle w:val="3"/>
      </w:pPr>
      <w:bookmarkStart w:id="101" w:name="_Toc223591144"/>
      <w:r w:rsidRPr="00245810">
        <w:t xml:space="preserve">С 1 апреля 2026 года в России пройдет индексация социальных и государственных пенсий, которая затронет более 4 миллионов человек. Повышение также ожидает ряд других категорий граждан, получающих отдельные виды выплат. Кому повысят пенсию в апреле 2026 года - читайте в справке </w:t>
      </w:r>
      <w:proofErr w:type="spellStart"/>
      <w:r w:rsidRPr="00245810">
        <w:rPr>
          <w:lang w:val="en-US"/>
        </w:rPr>
        <w:t>aif</w:t>
      </w:r>
      <w:proofErr w:type="spellEnd"/>
      <w:r w:rsidRPr="00245810">
        <w:t>.</w:t>
      </w:r>
      <w:proofErr w:type="spellStart"/>
      <w:r w:rsidRPr="00245810">
        <w:rPr>
          <w:lang w:val="en-US"/>
        </w:rPr>
        <w:t>ru</w:t>
      </w:r>
      <w:proofErr w:type="spellEnd"/>
      <w:r w:rsidRPr="00245810">
        <w:t>.</w:t>
      </w:r>
      <w:bookmarkEnd w:id="101"/>
    </w:p>
    <w:p w14:paraId="1E8A8176" w14:textId="77777777" w:rsidR="00245810" w:rsidRPr="00245810" w:rsidRDefault="00245810" w:rsidP="00245810">
      <w:r w:rsidRPr="00245810">
        <w:t>Кому повысят выплаты с 1 апреля?</w:t>
      </w:r>
    </w:p>
    <w:p w14:paraId="429541D1" w14:textId="77777777" w:rsidR="00245810" w:rsidRPr="00245810" w:rsidRDefault="00245810" w:rsidP="00245810">
      <w:r w:rsidRPr="00245810">
        <w:t xml:space="preserve">Основной прирост коснется получателей социальных пенсий. Этот вид пенсии назначается гражданам, которые по разным причинам не имеют права на страховую пенсию (например, из-за отсутствия необходимого трудового стажа). К ним относятся:  </w:t>
      </w:r>
    </w:p>
    <w:p w14:paraId="730AC05F" w14:textId="77777777" w:rsidR="00245810" w:rsidRPr="00245810" w:rsidRDefault="00245810" w:rsidP="00245810">
      <w:r w:rsidRPr="00245810">
        <w:t>•</w:t>
      </w:r>
      <w:r w:rsidRPr="00245810">
        <w:tab/>
        <w:t xml:space="preserve">граждане, достигшие пенсионного возраста, но не имеющие достаточного стажа; </w:t>
      </w:r>
    </w:p>
    <w:p w14:paraId="7E82E75B" w14:textId="77777777" w:rsidR="00245810" w:rsidRPr="00245810" w:rsidRDefault="00245810" w:rsidP="00245810">
      <w:r w:rsidRPr="00245810">
        <w:t>•</w:t>
      </w:r>
      <w:r w:rsidRPr="00245810">
        <w:tab/>
        <w:t xml:space="preserve">инвалиды </w:t>
      </w:r>
      <w:r w:rsidRPr="00245810">
        <w:rPr>
          <w:lang w:val="en-US"/>
        </w:rPr>
        <w:t>I</w:t>
      </w:r>
      <w:r w:rsidRPr="00245810">
        <w:t xml:space="preserve">, </w:t>
      </w:r>
      <w:r w:rsidRPr="00245810">
        <w:rPr>
          <w:lang w:val="en-US"/>
        </w:rPr>
        <w:t>II</w:t>
      </w:r>
      <w:r w:rsidRPr="00245810">
        <w:t xml:space="preserve"> и </w:t>
      </w:r>
      <w:r w:rsidRPr="00245810">
        <w:rPr>
          <w:lang w:val="en-US"/>
        </w:rPr>
        <w:t>III</w:t>
      </w:r>
      <w:r w:rsidRPr="00245810">
        <w:t xml:space="preserve"> групп, в том числе инвалиды с детства; </w:t>
      </w:r>
    </w:p>
    <w:p w14:paraId="7EF28F02" w14:textId="77777777" w:rsidR="00245810" w:rsidRPr="00245810" w:rsidRDefault="00245810" w:rsidP="00245810">
      <w:r w:rsidRPr="00245810">
        <w:t>•</w:t>
      </w:r>
      <w:r w:rsidRPr="00245810">
        <w:tab/>
        <w:t xml:space="preserve">дети-инвалиды; </w:t>
      </w:r>
    </w:p>
    <w:p w14:paraId="3A6530CB" w14:textId="77777777" w:rsidR="00245810" w:rsidRPr="00245810" w:rsidRDefault="00245810" w:rsidP="00245810">
      <w:r w:rsidRPr="00245810">
        <w:t>•</w:t>
      </w:r>
      <w:r w:rsidRPr="00245810">
        <w:tab/>
        <w:t xml:space="preserve">дети, потерявшие одного или обоих кормильцев, а также дети-сироты; </w:t>
      </w:r>
    </w:p>
    <w:p w14:paraId="570DB955" w14:textId="77777777" w:rsidR="00245810" w:rsidRPr="00245810" w:rsidRDefault="00245810" w:rsidP="00245810">
      <w:r w:rsidRPr="00245810">
        <w:t>•</w:t>
      </w:r>
      <w:r w:rsidRPr="00245810">
        <w:tab/>
        <w:t xml:space="preserve">представители малочисленных народов Севера. </w:t>
      </w:r>
    </w:p>
    <w:p w14:paraId="448BC6B3" w14:textId="77777777" w:rsidR="00245810" w:rsidRPr="00245810" w:rsidRDefault="00245810" w:rsidP="00245810">
      <w:r w:rsidRPr="00245810">
        <w:t xml:space="preserve">Помимо социальных, будут проиндексированы пенсии по государственному пенсионному обеспечению. Это затронет:  </w:t>
      </w:r>
    </w:p>
    <w:p w14:paraId="41528C2E" w14:textId="77777777" w:rsidR="00245810" w:rsidRPr="00245810" w:rsidRDefault="00245810" w:rsidP="00245810">
      <w:r w:rsidRPr="00245810">
        <w:t>•</w:t>
      </w:r>
      <w:r w:rsidRPr="00245810">
        <w:tab/>
        <w:t xml:space="preserve">участников Великой Отечественной войны; </w:t>
      </w:r>
    </w:p>
    <w:p w14:paraId="16D8A1AC" w14:textId="77777777" w:rsidR="00245810" w:rsidRPr="00245810" w:rsidRDefault="00245810" w:rsidP="00245810">
      <w:r w:rsidRPr="00245810">
        <w:t>•</w:t>
      </w:r>
      <w:r w:rsidRPr="00245810">
        <w:tab/>
        <w:t xml:space="preserve">граждан, награжденных знаками "Жителю блокадного Ленинграда", "Житель осажденного Севастополя", "Житель осажденного Сталинграда"; </w:t>
      </w:r>
    </w:p>
    <w:p w14:paraId="0FBEF89D" w14:textId="77777777" w:rsidR="00245810" w:rsidRPr="00245810" w:rsidRDefault="00245810" w:rsidP="00245810">
      <w:r w:rsidRPr="00245810">
        <w:t>•</w:t>
      </w:r>
      <w:r w:rsidRPr="00245810">
        <w:tab/>
        <w:t xml:space="preserve">военнослужащих, проходивших службу по призыву, и членов их семей; </w:t>
      </w:r>
    </w:p>
    <w:p w14:paraId="2C544A32" w14:textId="77777777" w:rsidR="00245810" w:rsidRPr="00245810" w:rsidRDefault="00245810" w:rsidP="00245810">
      <w:r w:rsidRPr="00245810">
        <w:t>•</w:t>
      </w:r>
      <w:r w:rsidRPr="00245810">
        <w:tab/>
        <w:t xml:space="preserve">граждан, пострадавших в результате радиационных или техногенных катастроф (например, ликвидаторов аварии на Чернобыльской АЭС); </w:t>
      </w:r>
    </w:p>
    <w:p w14:paraId="38AF2B9E" w14:textId="77777777" w:rsidR="00245810" w:rsidRPr="00245810" w:rsidRDefault="00245810" w:rsidP="00245810">
      <w:r w:rsidRPr="00245810">
        <w:t>•</w:t>
      </w:r>
      <w:r w:rsidRPr="00245810">
        <w:tab/>
        <w:t xml:space="preserve">космонавтов и летчиков-испытателей; </w:t>
      </w:r>
    </w:p>
    <w:p w14:paraId="332922DE" w14:textId="77777777" w:rsidR="00245810" w:rsidRPr="00245810" w:rsidRDefault="00245810" w:rsidP="00245810">
      <w:r w:rsidRPr="00245810">
        <w:t>•</w:t>
      </w:r>
      <w:r w:rsidRPr="00245810">
        <w:tab/>
        <w:t xml:space="preserve">участников добровольческих формирований в Донецкой и Луганской народных республиках. </w:t>
      </w:r>
    </w:p>
    <w:p w14:paraId="4C2B69A7" w14:textId="77777777" w:rsidR="00245810" w:rsidRPr="00245810" w:rsidRDefault="00245810" w:rsidP="00245810">
      <w:r w:rsidRPr="00245810">
        <w:t xml:space="preserve">Также с 1 апреля повысятся некоторые другие выплаты:  </w:t>
      </w:r>
    </w:p>
    <w:p w14:paraId="3880FEB0" w14:textId="77777777" w:rsidR="00245810" w:rsidRPr="00245810" w:rsidRDefault="00245810" w:rsidP="00245810">
      <w:r w:rsidRPr="00245810">
        <w:t>•</w:t>
      </w:r>
      <w:r w:rsidRPr="00245810">
        <w:tab/>
        <w:t xml:space="preserve">надбавка на уход за гражданами старше 80 лет; </w:t>
      </w:r>
    </w:p>
    <w:p w14:paraId="47B789AB" w14:textId="77777777" w:rsidR="00245810" w:rsidRPr="00C61E9A" w:rsidRDefault="00245810" w:rsidP="00245810">
      <w:r w:rsidRPr="00C61E9A">
        <w:t>•</w:t>
      </w:r>
      <w:r w:rsidRPr="00C61E9A">
        <w:tab/>
        <w:t xml:space="preserve">дополнительное материальное обеспечение для неработающих матерей-героинь. </w:t>
      </w:r>
    </w:p>
    <w:p w14:paraId="672935E4" w14:textId="77777777" w:rsidR="00245810" w:rsidRPr="00C61E9A" w:rsidRDefault="00245810" w:rsidP="00245810">
      <w:r w:rsidRPr="00C61E9A">
        <w:t>Как изменятся суммы выплат с апреля 2026 года?</w:t>
      </w:r>
    </w:p>
    <w:p w14:paraId="330564B0" w14:textId="77777777" w:rsidR="00245810" w:rsidRPr="00C61E9A" w:rsidRDefault="00245810" w:rsidP="00245810">
      <w:r w:rsidRPr="00C61E9A">
        <w:t>Повышение для социальных и государственных пенсий запланировано на уровне 6,8%. Этот процент соответствует росту прожиточного минимума пенсионера за предыдущий год.</w:t>
      </w:r>
    </w:p>
    <w:p w14:paraId="70F48D40" w14:textId="77777777" w:rsidR="00245810" w:rsidRPr="00C61E9A" w:rsidRDefault="00245810" w:rsidP="00245810">
      <w:r w:rsidRPr="00C61E9A">
        <w:t xml:space="preserve">Исходя из данных об индексации в 6,8%, размеры основных социальных пенсий изменятся следующим образом: выплаты по старости, для инвалидов </w:t>
      </w:r>
      <w:r w:rsidRPr="00245810">
        <w:rPr>
          <w:lang w:val="en-US"/>
        </w:rPr>
        <w:t>II</w:t>
      </w:r>
      <w:r w:rsidRPr="00C61E9A">
        <w:t xml:space="preserve"> группы, по случаю потери одного кормильца, а также для представителей малочисленных народов </w:t>
      </w:r>
      <w:r w:rsidRPr="00C61E9A">
        <w:lastRenderedPageBreak/>
        <w:t xml:space="preserve">Севера вырастут с 8 824 рублей до 9 424 рублей. Инвалиды </w:t>
      </w:r>
      <w:r w:rsidRPr="00245810">
        <w:rPr>
          <w:lang w:val="en-US"/>
        </w:rPr>
        <w:t>I</w:t>
      </w:r>
      <w:r w:rsidRPr="00C61E9A">
        <w:t xml:space="preserve"> группы и дети, потерявшие обоих кормильцев (круглые сироты), вместо 17 648 рублей начнут получать около 18 848 рублей. Для инвалидов </w:t>
      </w:r>
      <w:r w:rsidRPr="00245810">
        <w:rPr>
          <w:lang w:val="en-US"/>
        </w:rPr>
        <w:t>III</w:t>
      </w:r>
      <w:r w:rsidRPr="00C61E9A">
        <w:t xml:space="preserve"> группы сумма увеличится с 7 500 рублей до 8 010 рублей. Наибольший размер выплат сохранится у инвалидов с детства </w:t>
      </w:r>
      <w:r w:rsidRPr="00245810">
        <w:rPr>
          <w:lang w:val="en-US"/>
        </w:rPr>
        <w:t>I</w:t>
      </w:r>
      <w:r w:rsidRPr="00C61E9A">
        <w:t xml:space="preserve"> группы и детей-инвалидов: их пенсия повысится с текущих 21 178 рублей до 22 618 рублей. Об этом рассказал ТАСС член комитета Госдумы по малому и среднему предпринимательству Алексей </w:t>
      </w:r>
      <w:proofErr w:type="spellStart"/>
      <w:r w:rsidRPr="00C61E9A">
        <w:t>Говырин</w:t>
      </w:r>
      <w:proofErr w:type="spellEnd"/>
      <w:r w:rsidRPr="00C61E9A">
        <w:t>.</w:t>
      </w:r>
    </w:p>
    <w:p w14:paraId="0FEC2A33" w14:textId="456AA072" w:rsidR="00245810" w:rsidRPr="00C61E9A" w:rsidRDefault="000D71EB" w:rsidP="00245810">
      <w:hyperlink r:id="rId31" w:history="1">
        <w:r w:rsidR="00245810" w:rsidRPr="00C91C33">
          <w:rPr>
            <w:rStyle w:val="a3"/>
            <w:lang w:val="en-US"/>
          </w:rPr>
          <w:t>https</w:t>
        </w:r>
        <w:r w:rsidR="00245810" w:rsidRPr="00C61E9A">
          <w:rPr>
            <w:rStyle w:val="a3"/>
          </w:rPr>
          <w:t>://</w:t>
        </w:r>
        <w:proofErr w:type="spellStart"/>
        <w:r w:rsidR="00245810" w:rsidRPr="00C91C33">
          <w:rPr>
            <w:rStyle w:val="a3"/>
            <w:lang w:val="en-US"/>
          </w:rPr>
          <w:t>aif</w:t>
        </w:r>
        <w:proofErr w:type="spellEnd"/>
        <w:r w:rsidR="00245810" w:rsidRPr="00C61E9A">
          <w:rPr>
            <w:rStyle w:val="a3"/>
          </w:rPr>
          <w:t>.</w:t>
        </w:r>
        <w:proofErr w:type="spellStart"/>
        <w:r w:rsidR="00245810" w:rsidRPr="00C91C33">
          <w:rPr>
            <w:rStyle w:val="a3"/>
            <w:lang w:val="en-US"/>
          </w:rPr>
          <w:t>ru</w:t>
        </w:r>
        <w:proofErr w:type="spellEnd"/>
        <w:r w:rsidR="00245810" w:rsidRPr="00C61E9A">
          <w:rPr>
            <w:rStyle w:val="a3"/>
          </w:rPr>
          <w:t>/</w:t>
        </w:r>
        <w:r w:rsidR="00245810" w:rsidRPr="00C91C33">
          <w:rPr>
            <w:rStyle w:val="a3"/>
            <w:lang w:val="en-US"/>
          </w:rPr>
          <w:t>money</w:t>
        </w:r>
        <w:r w:rsidR="00245810" w:rsidRPr="00C61E9A">
          <w:rPr>
            <w:rStyle w:val="a3"/>
          </w:rPr>
          <w:t>/</w:t>
        </w:r>
        <w:proofErr w:type="spellStart"/>
        <w:r w:rsidR="00245810" w:rsidRPr="00C91C33">
          <w:rPr>
            <w:rStyle w:val="a3"/>
            <w:lang w:val="en-US"/>
          </w:rPr>
          <w:t>mymoney</w:t>
        </w:r>
        <w:proofErr w:type="spellEnd"/>
        <w:r w:rsidR="00245810" w:rsidRPr="00C61E9A">
          <w:rPr>
            <w:rStyle w:val="a3"/>
          </w:rPr>
          <w:t>/</w:t>
        </w:r>
        <w:proofErr w:type="spellStart"/>
        <w:r w:rsidR="00245810" w:rsidRPr="00C91C33">
          <w:rPr>
            <w:rStyle w:val="a3"/>
            <w:lang w:val="en-US"/>
          </w:rPr>
          <w:t>komu</w:t>
        </w:r>
        <w:proofErr w:type="spellEnd"/>
        <w:r w:rsidR="00245810" w:rsidRPr="00C61E9A">
          <w:rPr>
            <w:rStyle w:val="a3"/>
          </w:rPr>
          <w:t>-</w:t>
        </w:r>
        <w:proofErr w:type="spellStart"/>
        <w:r w:rsidR="00245810" w:rsidRPr="00C91C33">
          <w:rPr>
            <w:rStyle w:val="a3"/>
            <w:lang w:val="en-US"/>
          </w:rPr>
          <w:t>povysyat</w:t>
        </w:r>
        <w:proofErr w:type="spellEnd"/>
        <w:r w:rsidR="00245810" w:rsidRPr="00C61E9A">
          <w:rPr>
            <w:rStyle w:val="a3"/>
          </w:rPr>
          <w:t>-</w:t>
        </w:r>
        <w:proofErr w:type="spellStart"/>
        <w:r w:rsidR="00245810" w:rsidRPr="00C91C33">
          <w:rPr>
            <w:rStyle w:val="a3"/>
            <w:lang w:val="en-US"/>
          </w:rPr>
          <w:t>pensiyu</w:t>
        </w:r>
        <w:proofErr w:type="spellEnd"/>
        <w:r w:rsidR="00245810" w:rsidRPr="00C61E9A">
          <w:rPr>
            <w:rStyle w:val="a3"/>
          </w:rPr>
          <w:t>-</w:t>
        </w:r>
        <w:r w:rsidR="00245810" w:rsidRPr="00C91C33">
          <w:rPr>
            <w:rStyle w:val="a3"/>
            <w:lang w:val="en-US"/>
          </w:rPr>
          <w:t>v</w:t>
        </w:r>
        <w:r w:rsidR="00245810" w:rsidRPr="00C61E9A">
          <w:rPr>
            <w:rStyle w:val="a3"/>
          </w:rPr>
          <w:t>-</w:t>
        </w:r>
        <w:proofErr w:type="spellStart"/>
        <w:r w:rsidR="00245810" w:rsidRPr="00C91C33">
          <w:rPr>
            <w:rStyle w:val="a3"/>
            <w:lang w:val="en-US"/>
          </w:rPr>
          <w:t>aprele</w:t>
        </w:r>
        <w:proofErr w:type="spellEnd"/>
        <w:r w:rsidR="00245810" w:rsidRPr="00C61E9A">
          <w:rPr>
            <w:rStyle w:val="a3"/>
          </w:rPr>
          <w:t>-2026-</w:t>
        </w:r>
        <w:proofErr w:type="spellStart"/>
        <w:r w:rsidR="00245810" w:rsidRPr="00C91C33">
          <w:rPr>
            <w:rStyle w:val="a3"/>
            <w:lang w:val="en-US"/>
          </w:rPr>
          <w:t>goda</w:t>
        </w:r>
        <w:proofErr w:type="spellEnd"/>
      </w:hyperlink>
      <w:r w:rsidR="00245810" w:rsidRPr="00C61E9A">
        <w:t xml:space="preserve"> </w:t>
      </w:r>
    </w:p>
    <w:p w14:paraId="04B1E326" w14:textId="77777777" w:rsidR="00B65A78" w:rsidRPr="002F64E6" w:rsidRDefault="00B65A78" w:rsidP="00B65A78">
      <w:pPr>
        <w:pStyle w:val="2"/>
      </w:pPr>
      <w:bookmarkStart w:id="102" w:name="_Toc223591145"/>
      <w:proofErr w:type="spellStart"/>
      <w:r w:rsidRPr="002F64E6">
        <w:t>Выберу.ру</w:t>
      </w:r>
      <w:proofErr w:type="spellEnd"/>
      <w:r w:rsidRPr="002F64E6">
        <w:t>, 04.03.2026, Новая льгота для ветеранов труда: всем будут доплачивать к пенсии</w:t>
      </w:r>
      <w:bookmarkEnd w:id="102"/>
    </w:p>
    <w:p w14:paraId="3763E2E0" w14:textId="3420F748" w:rsidR="00B65A78" w:rsidRPr="002F64E6" w:rsidRDefault="00B65A78" w:rsidP="003F5B32">
      <w:pPr>
        <w:pStyle w:val="3"/>
      </w:pPr>
      <w:bookmarkStart w:id="103" w:name="_Toc223591146"/>
      <w:r w:rsidRPr="002F64E6">
        <w:t xml:space="preserve">Звание </w:t>
      </w:r>
      <w:r w:rsidR="00E77AB9">
        <w:t>«</w:t>
      </w:r>
      <w:r w:rsidRPr="002F64E6">
        <w:t>ветеран труда</w:t>
      </w:r>
      <w:r w:rsidR="00E77AB9">
        <w:t>»</w:t>
      </w:r>
      <w:r w:rsidRPr="002F64E6">
        <w:t xml:space="preserve"> давало массу льгот в советское время. После распада СССР поддержка переместилась на региональный уровень. В Госдуме предлагают изменить ситуацию. Ввести звание на федеральном уровне и ежемесячно доплачивать к пенсии, тем самым отдавая дань людям, которые долгие годы трудились на благо страны.</w:t>
      </w:r>
      <w:bookmarkEnd w:id="103"/>
    </w:p>
    <w:p w14:paraId="0E037C73" w14:textId="332B1F94" w:rsidR="00B65A78" w:rsidRPr="002F64E6" w:rsidRDefault="00B65A78" w:rsidP="00B65A78">
      <w:r w:rsidRPr="002F64E6">
        <w:t xml:space="preserve">Звание </w:t>
      </w:r>
      <w:r w:rsidR="00E77AB9">
        <w:t>«</w:t>
      </w:r>
      <w:r w:rsidRPr="002F64E6">
        <w:t>ветеран труда</w:t>
      </w:r>
      <w:r w:rsidR="00E77AB9">
        <w:t>»</w:t>
      </w:r>
      <w:r w:rsidRPr="002F64E6">
        <w:t xml:space="preserve"> утвердят на федеральном уровне, а каждому, кто его получить, будут доплачивать к пенсии по 1 000 рублей. Об этом свидетельствует законопроект (№ 1166145-8), внесённый в Госдуму.</w:t>
      </w:r>
    </w:p>
    <w:p w14:paraId="36CA0FC9" w14:textId="73339C09" w:rsidR="00B65A78" w:rsidRPr="002F64E6" w:rsidRDefault="00B65A78" w:rsidP="00B65A78">
      <w:r w:rsidRPr="002F64E6">
        <w:t xml:space="preserve">Документ предполагает, что звание </w:t>
      </w:r>
      <w:r w:rsidR="00E77AB9">
        <w:t>«</w:t>
      </w:r>
      <w:r w:rsidRPr="002F64E6">
        <w:t>ветеран труда</w:t>
      </w:r>
      <w:r w:rsidR="00E77AB9">
        <w:t>»</w:t>
      </w:r>
      <w:r w:rsidRPr="002F64E6">
        <w:t xml:space="preserve"> будут присваивать человеку, если он соответствует одному из условий:</w:t>
      </w:r>
    </w:p>
    <w:p w14:paraId="00CC5ADB" w14:textId="77777777" w:rsidR="00B65A78" w:rsidRPr="002F64E6" w:rsidRDefault="00B65A78" w:rsidP="00B65A78">
      <w:r w:rsidRPr="002F64E6">
        <w:t>1.</w:t>
      </w:r>
      <w:r w:rsidRPr="002F64E6">
        <w:tab/>
        <w:t>Имеет общий стаж 20 (для женщин) и 25 (для мужчин) лет и награждён орденами или медалями СССР, РФ, почётными грамотами президента России, ведомственными знаками отличия за заслуги в труде (службе) либо удостоен почётного звания СССР или РФ, благодарности президента России.</w:t>
      </w:r>
    </w:p>
    <w:p w14:paraId="3AC625F4" w14:textId="77777777" w:rsidR="00B65A78" w:rsidRPr="002F64E6" w:rsidRDefault="00B65A78" w:rsidP="00B65A78">
      <w:r w:rsidRPr="002F64E6">
        <w:t>2.</w:t>
      </w:r>
      <w:r w:rsidRPr="002F64E6">
        <w:tab/>
        <w:t>Имеет стаж работы в несовершеннолетнем возрасте во время Великой Отечественной войны и общий стаж 15 лет для женщин и 20 лет для мужчин.</w:t>
      </w:r>
    </w:p>
    <w:p w14:paraId="5EAAC36D" w14:textId="77777777" w:rsidR="00B65A78" w:rsidRPr="002F64E6" w:rsidRDefault="00B65A78" w:rsidP="00B65A78">
      <w:r w:rsidRPr="002F64E6">
        <w:t>3.</w:t>
      </w:r>
      <w:r w:rsidRPr="002F64E6">
        <w:tab/>
        <w:t>Имеет общий стаж 35 (для женщин) и 40 (для мужчин) лет.</w:t>
      </w:r>
    </w:p>
    <w:p w14:paraId="58182455" w14:textId="77777777" w:rsidR="00B65A78" w:rsidRPr="002F64E6" w:rsidRDefault="00B65A78" w:rsidP="00B65A78">
      <w:r w:rsidRPr="002F64E6">
        <w:t>4.</w:t>
      </w:r>
      <w:r w:rsidRPr="002F64E6">
        <w:tab/>
        <w:t>Имеет общий стаж 20 (для женщин) и 25 (для мужчин) лет и награждён государственными наградами региона либо удостоен почётного звания или грамоты региона.</w:t>
      </w:r>
    </w:p>
    <w:p w14:paraId="3136B4C2" w14:textId="5FD9B6E5" w:rsidR="00B65A78" w:rsidRPr="002F64E6" w:rsidRDefault="00B65A78" w:rsidP="00B65A78">
      <w:r w:rsidRPr="002F64E6">
        <w:t xml:space="preserve">Другими словами, звание </w:t>
      </w:r>
      <w:r w:rsidR="00E77AB9">
        <w:t>«</w:t>
      </w:r>
      <w:r w:rsidRPr="002F64E6">
        <w:t>ветеран труда</w:t>
      </w:r>
      <w:r w:rsidR="00E77AB9">
        <w:t>»</w:t>
      </w:r>
      <w:r w:rsidRPr="002F64E6">
        <w:t xml:space="preserve"> из регионального становится федеральным. У него появляются единые правила. Сейчас же условия в регионах разнятся. Где-то нужно отработать 45 лет, а где-то хватает 25 лет.</w:t>
      </w:r>
    </w:p>
    <w:p w14:paraId="1AC15530" w14:textId="77777777" w:rsidR="00B65A78" w:rsidRPr="002F64E6" w:rsidRDefault="00B65A78" w:rsidP="00B65A78">
      <w:r w:rsidRPr="002F64E6">
        <w:t>Кроме того, законопроект делает едиными пусть небольшие ежемесячные выплаты. Сейчас во многих регионах доплаты к пенсиям отсутствуют, а там, где есть, назначают при соблюдении дополнительных условий, например, только малообеспеченным ветеранам.</w:t>
      </w:r>
    </w:p>
    <w:p w14:paraId="05EDDCB2" w14:textId="77777777" w:rsidR="00B65A78" w:rsidRPr="002F64E6" w:rsidRDefault="00B65A78" w:rsidP="00B65A78">
      <w:r w:rsidRPr="002F64E6">
        <w:t>Печалит только тот факт, что законопроект, внесённый в Госдуму, имеет мизерные шансы на то, что его примут. Он подготовлен не правительством, а группой депутатов во главе с Сергеем Мироновым, чьи инициативы крайне редко одобряют наверху.</w:t>
      </w:r>
    </w:p>
    <w:p w14:paraId="2F16B91C" w14:textId="22E09A3B" w:rsidR="002D1A7F" w:rsidRPr="002F64E6" w:rsidRDefault="000D71EB" w:rsidP="00B65A78">
      <w:hyperlink r:id="rId32" w:history="1">
        <w:r w:rsidR="00B65A78" w:rsidRPr="002F64E6">
          <w:rPr>
            <w:rStyle w:val="a3"/>
          </w:rPr>
          <w:t>https://www.vbr.ru/help/novosti/novaya-lgota-dlya-veteranov-tryda-93919/</w:t>
        </w:r>
      </w:hyperlink>
    </w:p>
    <w:p w14:paraId="3CA3595E" w14:textId="77777777" w:rsidR="004307D2" w:rsidRPr="002F64E6" w:rsidRDefault="004307D2" w:rsidP="004307D2">
      <w:pPr>
        <w:pStyle w:val="2"/>
      </w:pPr>
      <w:bookmarkStart w:id="104" w:name="_Toc223591147"/>
      <w:r w:rsidRPr="002F64E6">
        <w:lastRenderedPageBreak/>
        <w:t>Конкурент, 04.03.2026, Решение найдено. Каждый ветеран труда будет получать по 10 000 рублей</w:t>
      </w:r>
      <w:bookmarkEnd w:id="104"/>
    </w:p>
    <w:p w14:paraId="61A82F8E" w14:textId="3EBCE245" w:rsidR="004307D2" w:rsidRPr="002F64E6" w:rsidRDefault="004307D2" w:rsidP="003F5B32">
      <w:pPr>
        <w:pStyle w:val="3"/>
      </w:pPr>
      <w:bookmarkStart w:id="105" w:name="_Toc223591148"/>
      <w:r w:rsidRPr="002F64E6">
        <w:t xml:space="preserve">В Госдуму внесен законопроект, который унифицирует федеральные правила присвоения звания </w:t>
      </w:r>
      <w:r w:rsidR="00E77AB9">
        <w:t>«</w:t>
      </w:r>
      <w:r w:rsidRPr="002F64E6">
        <w:t>Ветеран труда</w:t>
      </w:r>
      <w:r w:rsidR="00E77AB9">
        <w:t>»</w:t>
      </w:r>
      <w:r w:rsidRPr="002F64E6">
        <w:t>. Ожидается, что обладатели этого звания будут получать ежемесячную доплату к пенсии в размере 10 тыс. руб.</w:t>
      </w:r>
      <w:bookmarkEnd w:id="105"/>
    </w:p>
    <w:p w14:paraId="0C355493" w14:textId="4CA1C544" w:rsidR="004307D2" w:rsidRPr="002F64E6" w:rsidRDefault="004307D2" w:rsidP="004307D2">
      <w:r w:rsidRPr="002F64E6">
        <w:t xml:space="preserve">Звание </w:t>
      </w:r>
      <w:r w:rsidR="00E77AB9">
        <w:t>«</w:t>
      </w:r>
      <w:r w:rsidRPr="002F64E6">
        <w:t>Ветеран труда</w:t>
      </w:r>
      <w:r w:rsidR="00E77AB9">
        <w:t>»</w:t>
      </w:r>
      <w:r w:rsidRPr="002F64E6">
        <w:t xml:space="preserve"> появилось в СССР в 1974 г. и присуждалось за многолетний добросовестный труд, предоставляя ряд льгот. Однако в 90-е годы каждый регион установил свои критерии, что привело к излишней бюрократизации. Теперь же планируется ввести единые общероссийские требования.</w:t>
      </w:r>
    </w:p>
    <w:p w14:paraId="74FA33C9" w14:textId="4BBCD53E" w:rsidR="004307D2" w:rsidRPr="002F64E6" w:rsidRDefault="004307D2" w:rsidP="004307D2">
      <w:r w:rsidRPr="002F64E6">
        <w:t xml:space="preserve">Как поясняется в пояснительной записке к законопроекту, его цель – установить единые требования к присвоению звания </w:t>
      </w:r>
      <w:r w:rsidR="00E77AB9">
        <w:t>«</w:t>
      </w:r>
      <w:r w:rsidRPr="002F64E6">
        <w:t>Ветеран труда</w:t>
      </w:r>
      <w:r w:rsidR="00E77AB9">
        <w:t>»</w:t>
      </w:r>
      <w:r w:rsidRPr="002F64E6">
        <w:t xml:space="preserve"> по всей России и ввести федеральную ежемесячную выплату с ежегодной индексацией.</w:t>
      </w:r>
    </w:p>
    <w:p w14:paraId="3DA1A28D" w14:textId="77777777" w:rsidR="004307D2" w:rsidRPr="002F64E6" w:rsidRDefault="004307D2" w:rsidP="004307D2">
      <w:r w:rsidRPr="002F64E6">
        <w:t>Предполагается, что звание будет присваиваться россиянам с трудовым стажем не менее 40 лет для мужчин и 35 лет для женщин.</w:t>
      </w:r>
    </w:p>
    <w:p w14:paraId="25E50D55" w14:textId="0D12B99A" w:rsidR="00B65A78" w:rsidRPr="00C61E9A" w:rsidRDefault="000D71EB" w:rsidP="004307D2">
      <w:hyperlink r:id="rId33" w:history="1">
        <w:r w:rsidR="004307D2" w:rsidRPr="002F64E6">
          <w:rPr>
            <w:rStyle w:val="a3"/>
          </w:rPr>
          <w:t>https://konkurent.ru/article/85124</w:t>
        </w:r>
      </w:hyperlink>
    </w:p>
    <w:p w14:paraId="2981E048" w14:textId="21D93A78" w:rsidR="00EC6C2C" w:rsidRPr="00EC6C2C" w:rsidRDefault="00EC6C2C" w:rsidP="00EC6C2C">
      <w:pPr>
        <w:pStyle w:val="2"/>
      </w:pPr>
      <w:bookmarkStart w:id="106" w:name="_Toc223591149"/>
      <w:r w:rsidRPr="00EC6C2C">
        <w:rPr>
          <w:lang w:val="en-US"/>
        </w:rPr>
        <w:t>Pravda</w:t>
      </w:r>
      <w:r w:rsidRPr="00EC6C2C">
        <w:t>.</w:t>
      </w:r>
      <w:proofErr w:type="spellStart"/>
      <w:r w:rsidRPr="00EC6C2C">
        <w:rPr>
          <w:lang w:val="en-US"/>
        </w:rPr>
        <w:t>ru</w:t>
      </w:r>
      <w:proofErr w:type="spellEnd"/>
      <w:r w:rsidRPr="00EC6C2C">
        <w:t>, 04.03.2026, Кошелёк станет чуть тяжелее: социальные выплаты пенсионерам преодолеют важную психологическую отметку</w:t>
      </w:r>
      <w:bookmarkEnd w:id="106"/>
    </w:p>
    <w:p w14:paraId="7685E173" w14:textId="77777777" w:rsidR="00EC6C2C" w:rsidRPr="00EC6C2C" w:rsidRDefault="00EC6C2C" w:rsidP="00EC6C2C">
      <w:pPr>
        <w:pStyle w:val="3"/>
      </w:pPr>
      <w:bookmarkStart w:id="107" w:name="_Toc223591150"/>
      <w:r w:rsidRPr="00EC6C2C">
        <w:t>Российских пенсионеров ожидает плановое повышение выплат весной 2026 года. Согласно актуальным прогнозам, средний размер социальной пенсии после индексации, запланированной на 1 апреля, превысит отметку в 16,5 тысячи рублей. Данное решение затронет интересы более 4 миллионов граждан, чье материальное обеспечение напрямую зависит от государственных коэффициентов пересчета.</w:t>
      </w:r>
      <w:bookmarkEnd w:id="107"/>
    </w:p>
    <w:p w14:paraId="28ADF9FA" w14:textId="77777777" w:rsidR="00EC6C2C" w:rsidRPr="00EC6C2C" w:rsidRDefault="00EC6C2C" w:rsidP="00EC6C2C">
      <w:r w:rsidRPr="00EC6C2C">
        <w:t>Механизм индексации привязан к динамике федерального прожиточного минимума пенсионера. Поскольку с начала текущего года этот показатель был установлен на уровне 16 288 рублей, последующий пересмотр пенсионных начислений в апреле призван компенсировать инфляционные риски и обеспечить адекватную покупательную способность социально уязвимых категорий населения.</w:t>
      </w:r>
    </w:p>
    <w:p w14:paraId="355BBFAB" w14:textId="77777777" w:rsidR="00EC6C2C" w:rsidRPr="00EC6C2C" w:rsidRDefault="00EC6C2C" w:rsidP="00EC6C2C">
      <w:r w:rsidRPr="00EC6C2C">
        <w:t>Важно понимать, что в условиях, когда цены на продукты демонстрируют волатильность, своевременная корректировка социальных обязательств государства становится ключевым фактором стабильности. Регулярный пересмотр выплат позволяет нивелировать негативное влияние роста стоимости потребительской корзины на личные финансы граждан.</w:t>
      </w:r>
    </w:p>
    <w:p w14:paraId="1BD4C06A" w14:textId="77777777" w:rsidR="00EC6C2C" w:rsidRPr="00EC6C2C" w:rsidRDefault="00EC6C2C" w:rsidP="00EC6C2C">
      <w:r w:rsidRPr="00EC6C2C">
        <w:t>Параметры индексации в 2026 году</w:t>
      </w:r>
    </w:p>
    <w:p w14:paraId="4BE66C50" w14:textId="77777777" w:rsidR="00EC6C2C" w:rsidRPr="00EC6C2C" w:rsidRDefault="00EC6C2C" w:rsidP="00EC6C2C">
      <w:r w:rsidRPr="00EC6C2C">
        <w:t xml:space="preserve">Основным триггером для апрельского повышения станет коэффициент в 6,8 процента. Именно на такую величину планируется увеличить выплаты, что в денежном эквиваленте выведет среднюю социальную пенсию на уровень 16 569 рублей. Эта мера является частью долгосрочной стратегии правительства по поддержанию уровня жизни </w:t>
      </w:r>
      <w:r w:rsidRPr="00EC6C2C">
        <w:lastRenderedPageBreak/>
        <w:t>россиян, не имеющих достаточного трудового стажа для получения страховой части выплат.</w:t>
      </w:r>
    </w:p>
    <w:p w14:paraId="61D60FAE" w14:textId="77777777" w:rsidR="00EC6C2C" w:rsidRPr="00EC6C2C" w:rsidRDefault="00EC6C2C" w:rsidP="00EC6C2C">
      <w:r w:rsidRPr="00EC6C2C">
        <w:t xml:space="preserve">"Индексация социальных пенсий традиционно проводится 1 апреля. В отличие от страховых пенсий, которые зависят от накопленных баллов, социальные выплаты ориентированы на фактически установленный прожиточный минимум, что гарантирует базовую поддержку государства", - подчеркнула в беседе с </w:t>
      </w:r>
      <w:r w:rsidRPr="00EC6C2C">
        <w:rPr>
          <w:lang w:val="en-US"/>
        </w:rPr>
        <w:t>Pravda</w:t>
      </w:r>
      <w:r w:rsidRPr="00EC6C2C">
        <w:t xml:space="preserve">. </w:t>
      </w:r>
      <w:r w:rsidRPr="00EC6C2C">
        <w:rPr>
          <w:lang w:val="en-US"/>
        </w:rPr>
        <w:t>Ru</w:t>
      </w:r>
      <w:r w:rsidRPr="00EC6C2C">
        <w:t xml:space="preserve"> специалист по ипотечному кредитованию Мария Ковалева.</w:t>
      </w:r>
    </w:p>
    <w:p w14:paraId="6C245F26" w14:textId="77777777" w:rsidR="00EC6C2C" w:rsidRPr="00EC6C2C" w:rsidRDefault="00EC6C2C" w:rsidP="00EC6C2C">
      <w:r w:rsidRPr="00EC6C2C">
        <w:t>Для многих получателей этот доход является единственным, поэтому любая задержка или ошибка в расчетах критична. В текущих реалиях, когда блокировка карты или потеря доступа к счету может оставить человека без средств к существованию, важно следить за корректностью начислений и вовремя информировать Социальный фонд об изменениях в личных данных.</w:t>
      </w:r>
    </w:p>
    <w:p w14:paraId="4A6325F2" w14:textId="77777777" w:rsidR="00EC6C2C" w:rsidRPr="00EC6C2C" w:rsidRDefault="00EC6C2C" w:rsidP="00EC6C2C">
      <w:r w:rsidRPr="00EC6C2C">
        <w:t>Кто получит прибавку к пенсии</w:t>
      </w:r>
    </w:p>
    <w:p w14:paraId="58B39964" w14:textId="77777777" w:rsidR="00EC6C2C" w:rsidRPr="00EC6C2C" w:rsidRDefault="00EC6C2C" w:rsidP="00EC6C2C">
      <w:r w:rsidRPr="00EC6C2C">
        <w:t xml:space="preserve">Социальная пенсия выплачивается гражданам, которые по тем или иным причинам не заработали право на страховую пенсию по старости. Сюда входят инвалиды всех групп, дети, потерявшие кормильца, а также представители малочисленных народов Севера. Рост выплат носит </w:t>
      </w:r>
      <w:proofErr w:type="spellStart"/>
      <w:r w:rsidRPr="00EC6C2C">
        <w:t>беззаявительный</w:t>
      </w:r>
      <w:proofErr w:type="spellEnd"/>
      <w:r w:rsidRPr="00EC6C2C">
        <w:t xml:space="preserve"> характер: Социальный фонд автоматически произведет перерасчет, и в апреле средства придут уже в новом размере.</w:t>
      </w:r>
    </w:p>
    <w:p w14:paraId="7D10816B" w14:textId="77777777" w:rsidR="00EC6C2C" w:rsidRPr="00EC6C2C" w:rsidRDefault="00EC6C2C" w:rsidP="00EC6C2C">
      <w:r w:rsidRPr="00EC6C2C">
        <w:t>Категория пенсии</w:t>
      </w:r>
    </w:p>
    <w:p w14:paraId="7D41DBE1" w14:textId="77777777" w:rsidR="00EC6C2C" w:rsidRPr="00EC6C2C" w:rsidRDefault="00EC6C2C" w:rsidP="00EC6C2C">
      <w:r w:rsidRPr="00EC6C2C">
        <w:t>Ожидаемый средний размер (руб.)</w:t>
      </w:r>
    </w:p>
    <w:p w14:paraId="629D4A3C" w14:textId="77777777" w:rsidR="00EC6C2C" w:rsidRPr="00EC6C2C" w:rsidRDefault="00EC6C2C" w:rsidP="00EC6C2C">
      <w:r w:rsidRPr="00EC6C2C">
        <w:t xml:space="preserve">Социальная (с 1 </w:t>
      </w:r>
      <w:proofErr w:type="gramStart"/>
      <w:r w:rsidRPr="00EC6C2C">
        <w:t xml:space="preserve">апреля)   </w:t>
      </w:r>
      <w:proofErr w:type="gramEnd"/>
      <w:r w:rsidRPr="00EC6C2C">
        <w:t>16 569</w:t>
      </w:r>
    </w:p>
    <w:p w14:paraId="4735D79B" w14:textId="77777777" w:rsidR="00EC6C2C" w:rsidRPr="00EC6C2C" w:rsidRDefault="00EC6C2C" w:rsidP="00EC6C2C">
      <w:r w:rsidRPr="00EC6C2C">
        <w:t>Прожиточный минимум (</w:t>
      </w:r>
      <w:proofErr w:type="gramStart"/>
      <w:r w:rsidRPr="00EC6C2C">
        <w:t xml:space="preserve">ПМП)   </w:t>
      </w:r>
      <w:proofErr w:type="gramEnd"/>
      <w:r w:rsidRPr="00EC6C2C">
        <w:t>16 288</w:t>
      </w:r>
    </w:p>
    <w:p w14:paraId="779D4027" w14:textId="77777777" w:rsidR="00EC6C2C" w:rsidRPr="00EC6C2C" w:rsidRDefault="00EC6C2C" w:rsidP="00EC6C2C">
      <w:r w:rsidRPr="00EC6C2C">
        <w:t>Несмотря на рост доходов, пенсионерам следует сохранять бдительность в управлении своими активами. Эксперты отмечают, что пожилые люди часто становятся целью финансовых структур, предлагающих сомнительные продукты. Например, кредитная карта может казаться удобным инструментом, но при неумелом использовании она быстро превращается в долговую ловушку.</w:t>
      </w:r>
    </w:p>
    <w:p w14:paraId="66B3191E" w14:textId="77777777" w:rsidR="00EC6C2C" w:rsidRPr="00E56A8C" w:rsidRDefault="00EC6C2C" w:rsidP="00EC6C2C">
      <w:r w:rsidRPr="00E56A8C">
        <w:t>Отличие социальной пенсии от страховой</w:t>
      </w:r>
    </w:p>
    <w:p w14:paraId="7FD784F6" w14:textId="77777777" w:rsidR="00EC6C2C" w:rsidRPr="00E56A8C" w:rsidRDefault="00EC6C2C" w:rsidP="00EC6C2C">
      <w:r w:rsidRPr="00E56A8C">
        <w:t>Ключевое различие заключается в источнике финансирования и условиях назначения. Страховая пенсия формируется из взносов работодателей и зависит от стажа и индивидуальных пенсионных коэффициентов. Социальная же выплачивается из федерального бюджета и назначается на 5 лет позже общеустановленного пенсионного возраста, если у человека нет минимального стажа.</w:t>
      </w:r>
    </w:p>
    <w:p w14:paraId="0A14D53F" w14:textId="77777777" w:rsidR="00EC6C2C" w:rsidRPr="00E56A8C" w:rsidRDefault="00EC6C2C" w:rsidP="00EC6C2C">
      <w:r w:rsidRPr="00E56A8C">
        <w:t xml:space="preserve">"При планировании долгосрочных обязательств важно учитывать вид получаемого дохода. Если социальная пенсия - ваш основной ресурс, стоит крайне осторожно подходить к любым займам, так как риск-менеджмент в таких случаях требует безупречной дисциплины", - объяснил в беседе с </w:t>
      </w:r>
      <w:r w:rsidRPr="00EC6C2C">
        <w:rPr>
          <w:lang w:val="en-US"/>
        </w:rPr>
        <w:t>Pravda</w:t>
      </w:r>
      <w:r w:rsidRPr="00E56A8C">
        <w:t xml:space="preserve">. </w:t>
      </w:r>
      <w:r w:rsidRPr="00EC6C2C">
        <w:rPr>
          <w:lang w:val="en-US"/>
        </w:rPr>
        <w:t>Ru</w:t>
      </w:r>
      <w:r w:rsidRPr="00E56A8C">
        <w:t xml:space="preserve"> риск-менеджер Илья Гусев.</w:t>
      </w:r>
    </w:p>
    <w:p w14:paraId="5C45795F" w14:textId="77777777" w:rsidR="00EC6C2C" w:rsidRPr="00E56A8C" w:rsidRDefault="00EC6C2C" w:rsidP="00EC6C2C">
      <w:r w:rsidRPr="00E56A8C">
        <w:t>В случае возникновения задолженностей, которые невозможно погасить, граждане имеют право на юридические процедуры урегулирования ситуации. Если долг становится неподъемным, единственным законным выходом может стать банкротство физлиц, позволяющее списать безнадежные обязательства и начать финансовую жизнь с чистого листа.</w:t>
      </w:r>
    </w:p>
    <w:p w14:paraId="704E2726" w14:textId="77777777" w:rsidR="00EC6C2C" w:rsidRPr="00E56A8C" w:rsidRDefault="00EC6C2C" w:rsidP="00EC6C2C">
      <w:r w:rsidRPr="00E56A8C">
        <w:lastRenderedPageBreak/>
        <w:t>Экономический контекст и уровень инфляции</w:t>
      </w:r>
    </w:p>
    <w:p w14:paraId="0140BD64" w14:textId="77777777" w:rsidR="00EC6C2C" w:rsidRPr="00E56A8C" w:rsidRDefault="00EC6C2C" w:rsidP="00EC6C2C">
      <w:r w:rsidRPr="00E56A8C">
        <w:t>Индексация на уровне 6,8% призвана догнать темпы роста цен. Внешнеэкономические факторы также накладывают свой отпечаток: изменения на мировых рынках влияют на внутренние показатели. Хотя такие события, как энергетический кризис в Европе или сложности с поставками газа, кажутся далекими, они косвенно формируют бюджетные возможности страны.</w:t>
      </w:r>
    </w:p>
    <w:p w14:paraId="2BAE5E0D" w14:textId="77777777" w:rsidR="00EC6C2C" w:rsidRPr="00E56A8C" w:rsidRDefault="00EC6C2C" w:rsidP="00EC6C2C">
      <w:r w:rsidRPr="00E56A8C">
        <w:t xml:space="preserve">"Бюджетная система России адаптирована к волатильности цен на энергоносители. Индексация социальных пособий заложена в закон о бюджете как защищенная статья расходов, что гарантирует выплаты вне зависимости от ситуации на газовом рынке", - отметил в беседе с </w:t>
      </w:r>
      <w:r w:rsidRPr="00EC6C2C">
        <w:rPr>
          <w:lang w:val="en-US"/>
        </w:rPr>
        <w:t>Pravda</w:t>
      </w:r>
      <w:r w:rsidRPr="00E56A8C">
        <w:t xml:space="preserve">. </w:t>
      </w:r>
      <w:r w:rsidRPr="00EC6C2C">
        <w:rPr>
          <w:lang w:val="en-US"/>
        </w:rPr>
        <w:t>Ru</w:t>
      </w:r>
      <w:r w:rsidRPr="00E56A8C">
        <w:t xml:space="preserve"> аналитик нефтепродуктов Геннадий Чернов.</w:t>
      </w:r>
    </w:p>
    <w:p w14:paraId="5B5ADF74" w14:textId="77777777" w:rsidR="00EC6C2C" w:rsidRPr="00E56A8C" w:rsidRDefault="00EC6C2C" w:rsidP="00EC6C2C">
      <w:r w:rsidRPr="00E56A8C">
        <w:t>Глобальные вызовы, такие как возможный газовый шок из-за геополитической напряженности, заставляют государство более внимательно относиться к резервным фондам. Это гарантирует, что даже при резких колебаниях курса или цен на импорт, социальные обязательства перед пенсионерами будут выполнены в полном объеме и в срок.</w:t>
      </w:r>
    </w:p>
    <w:p w14:paraId="483B5C77" w14:textId="77777777" w:rsidR="00EC6C2C" w:rsidRPr="00E56A8C" w:rsidRDefault="00EC6C2C" w:rsidP="00EC6C2C">
      <w:r w:rsidRPr="00E56A8C">
        <w:t>Ответы на популярные вопросы о социальных пенсиях</w:t>
      </w:r>
    </w:p>
    <w:p w14:paraId="28571201" w14:textId="77777777" w:rsidR="00EC6C2C" w:rsidRPr="00E56A8C" w:rsidRDefault="00EC6C2C" w:rsidP="00EC6C2C">
      <w:r w:rsidRPr="00E56A8C">
        <w:t>Кому повысят пенсию с 1 апреля 2026 года?</w:t>
      </w:r>
    </w:p>
    <w:p w14:paraId="2F5A82DC" w14:textId="77777777" w:rsidR="00EC6C2C" w:rsidRPr="00E56A8C" w:rsidRDefault="00EC6C2C" w:rsidP="00EC6C2C">
      <w:r w:rsidRPr="00E56A8C">
        <w:t>Повышение коснется получателей социальных пенсий и пенсий по государственному пенсионному обеспечению. Это инвалиды, дети-сироты, ветераны и граждане без необходимого трудового стажа.</w:t>
      </w:r>
    </w:p>
    <w:p w14:paraId="3E5B0B3D" w14:textId="77777777" w:rsidR="00EC6C2C" w:rsidRPr="00E56A8C" w:rsidRDefault="00EC6C2C" w:rsidP="00EC6C2C">
      <w:r w:rsidRPr="00E56A8C">
        <w:t>Нужно ли подавать заявление для индексации?</w:t>
      </w:r>
    </w:p>
    <w:p w14:paraId="45CAEA6B" w14:textId="77777777" w:rsidR="00EC6C2C" w:rsidRPr="00E56A8C" w:rsidRDefault="00EC6C2C" w:rsidP="00EC6C2C">
      <w:r w:rsidRPr="00E56A8C">
        <w:t>Нет, индексация происходит автоматически. Сумма выплат будет пересчитана Социальным фондом России без участия пенсионера.</w:t>
      </w:r>
    </w:p>
    <w:p w14:paraId="07DB7978" w14:textId="41D005F1" w:rsidR="00EC6C2C" w:rsidRPr="00E56A8C" w:rsidRDefault="000D71EB" w:rsidP="00EC6C2C">
      <w:hyperlink r:id="rId34" w:history="1">
        <w:r w:rsidR="00EC6C2C" w:rsidRPr="00C91C33">
          <w:rPr>
            <w:rStyle w:val="a3"/>
            <w:lang w:val="en-US"/>
          </w:rPr>
          <w:t>https</w:t>
        </w:r>
        <w:r w:rsidR="00EC6C2C" w:rsidRPr="00E56A8C">
          <w:rPr>
            <w:rStyle w:val="a3"/>
          </w:rPr>
          <w:t>://</w:t>
        </w:r>
        <w:r w:rsidR="00EC6C2C" w:rsidRPr="00C91C33">
          <w:rPr>
            <w:rStyle w:val="a3"/>
            <w:lang w:val="en-US"/>
          </w:rPr>
          <w:t>www</w:t>
        </w:r>
        <w:r w:rsidR="00EC6C2C" w:rsidRPr="00E56A8C">
          <w:rPr>
            <w:rStyle w:val="a3"/>
          </w:rPr>
          <w:t>.</w:t>
        </w:r>
        <w:proofErr w:type="spellStart"/>
        <w:r w:rsidR="00EC6C2C" w:rsidRPr="00C91C33">
          <w:rPr>
            <w:rStyle w:val="a3"/>
            <w:lang w:val="en-US"/>
          </w:rPr>
          <w:t>pravda</w:t>
        </w:r>
        <w:proofErr w:type="spellEnd"/>
        <w:r w:rsidR="00EC6C2C" w:rsidRPr="00E56A8C">
          <w:rPr>
            <w:rStyle w:val="a3"/>
          </w:rPr>
          <w:t>.</w:t>
        </w:r>
        <w:proofErr w:type="spellStart"/>
        <w:r w:rsidR="00EC6C2C" w:rsidRPr="00C91C33">
          <w:rPr>
            <w:rStyle w:val="a3"/>
            <w:lang w:val="en-US"/>
          </w:rPr>
          <w:t>ru</w:t>
        </w:r>
        <w:proofErr w:type="spellEnd"/>
        <w:r w:rsidR="00EC6C2C" w:rsidRPr="00E56A8C">
          <w:rPr>
            <w:rStyle w:val="a3"/>
          </w:rPr>
          <w:t>/</w:t>
        </w:r>
        <w:r w:rsidR="00EC6C2C" w:rsidRPr="00C91C33">
          <w:rPr>
            <w:rStyle w:val="a3"/>
            <w:lang w:val="en-US"/>
          </w:rPr>
          <w:t>economics</w:t>
        </w:r>
        <w:r w:rsidR="00EC6C2C" w:rsidRPr="00E56A8C">
          <w:rPr>
            <w:rStyle w:val="a3"/>
          </w:rPr>
          <w:t>/2336278-</w:t>
        </w:r>
        <w:r w:rsidR="00EC6C2C" w:rsidRPr="00C91C33">
          <w:rPr>
            <w:rStyle w:val="a3"/>
            <w:lang w:val="en-US"/>
          </w:rPr>
          <w:t>pension</w:t>
        </w:r>
        <w:r w:rsidR="00EC6C2C" w:rsidRPr="00E56A8C">
          <w:rPr>
            <w:rStyle w:val="a3"/>
          </w:rPr>
          <w:t>-</w:t>
        </w:r>
        <w:r w:rsidR="00EC6C2C" w:rsidRPr="00C91C33">
          <w:rPr>
            <w:rStyle w:val="a3"/>
            <w:lang w:val="en-US"/>
          </w:rPr>
          <w:t>indexation</w:t>
        </w:r>
        <w:r w:rsidR="00EC6C2C" w:rsidRPr="00E56A8C">
          <w:rPr>
            <w:rStyle w:val="a3"/>
          </w:rPr>
          <w:t>-</w:t>
        </w:r>
        <w:r w:rsidR="00EC6C2C" w:rsidRPr="00C91C33">
          <w:rPr>
            <w:rStyle w:val="a3"/>
            <w:lang w:val="en-US"/>
          </w:rPr>
          <w:t>spring</w:t>
        </w:r>
        <w:r w:rsidR="00EC6C2C" w:rsidRPr="00E56A8C">
          <w:rPr>
            <w:rStyle w:val="a3"/>
          </w:rPr>
          <w:t>-2026/</w:t>
        </w:r>
      </w:hyperlink>
      <w:r w:rsidR="00EC6C2C" w:rsidRPr="00E56A8C">
        <w:t xml:space="preserve"> </w:t>
      </w:r>
    </w:p>
    <w:p w14:paraId="62D15E26" w14:textId="77777777" w:rsidR="00205B23" w:rsidRPr="002F64E6" w:rsidRDefault="00205B23" w:rsidP="00205B23">
      <w:pPr>
        <w:pStyle w:val="2"/>
      </w:pPr>
      <w:bookmarkStart w:id="108" w:name="_Toc223591151"/>
      <w:r w:rsidRPr="002F64E6">
        <w:t>PRIMPRESS, 04.03.2026, Доплата 1500 рублей: новая надбавка к пенсии за стаж до 1991 года</w:t>
      </w:r>
      <w:bookmarkEnd w:id="108"/>
    </w:p>
    <w:p w14:paraId="1515B71E" w14:textId="5D0AED67" w:rsidR="00205B23" w:rsidRPr="002F64E6" w:rsidRDefault="00205B23" w:rsidP="003F5B32">
      <w:pPr>
        <w:pStyle w:val="3"/>
      </w:pPr>
      <w:bookmarkStart w:id="109" w:name="_Toc223591152"/>
      <w:r w:rsidRPr="002F64E6">
        <w:t xml:space="preserve">Пенсионерам с </w:t>
      </w:r>
      <w:r w:rsidR="00E77AB9">
        <w:t>«</w:t>
      </w:r>
      <w:r w:rsidRPr="002F64E6">
        <w:t>советским</w:t>
      </w:r>
      <w:r w:rsidR="00E77AB9">
        <w:t>»</w:t>
      </w:r>
      <w:r w:rsidRPr="002F64E6">
        <w:t xml:space="preserve"> стажем стоит внимательнее отнестись к своим документам: всё больше регионов вводят отдельные надбавки за годы работы до 1991 года. В среднем речь идёт о прибавке порядка 1500 рублей, но главное — назначают её не автоматически, а только по заявлению и при подтверждении стажа.</w:t>
      </w:r>
      <w:bookmarkEnd w:id="109"/>
    </w:p>
    <w:p w14:paraId="7D1EAF2B" w14:textId="77777777" w:rsidR="00205B23" w:rsidRPr="002F64E6" w:rsidRDefault="00205B23" w:rsidP="00205B23">
      <w:r w:rsidRPr="002F64E6">
        <w:t>За какие годы можно получить доплату</w:t>
      </w:r>
    </w:p>
    <w:p w14:paraId="1D330A72" w14:textId="06A5706C" w:rsidR="00205B23" w:rsidRPr="002F64E6" w:rsidRDefault="00205B23" w:rsidP="00205B23">
      <w:r w:rsidRPr="002F64E6">
        <w:t xml:space="preserve">Под новую надбавку, как правило, попадает стаж, отработанный ещё в СССР — до начала 1990‑х. Для многих нынешних пенсионеров именно эти годы пришлись на самый активный период трудовой жизни: работа на заводах, в учреждениях, на селе. Однако часть этого стажа в своё время была учтена по упрощённым схемам, без детальной оценки, а сейчас его пытаются </w:t>
      </w:r>
      <w:r w:rsidR="00E77AB9">
        <w:t>«</w:t>
      </w:r>
      <w:r w:rsidRPr="002F64E6">
        <w:t>оцифровать</w:t>
      </w:r>
      <w:r w:rsidR="00E77AB9">
        <w:t>»</w:t>
      </w:r>
      <w:r w:rsidRPr="002F64E6">
        <w:t xml:space="preserve"> и учесть более полно.</w:t>
      </w:r>
    </w:p>
    <w:p w14:paraId="4A247AC6" w14:textId="69955A34" w:rsidR="00205B23" w:rsidRPr="002F64E6" w:rsidRDefault="00205B23" w:rsidP="00205B23">
      <w:r w:rsidRPr="002F64E6">
        <w:t xml:space="preserve">Доплата в размере около 1500 рублей становится своего рода компенсацией за тот самый </w:t>
      </w:r>
      <w:r w:rsidR="00E77AB9">
        <w:t>«</w:t>
      </w:r>
      <w:r w:rsidRPr="002F64E6">
        <w:t>долгоиграющий</w:t>
      </w:r>
      <w:r w:rsidR="00E77AB9">
        <w:t>»</w:t>
      </w:r>
      <w:r w:rsidRPr="002F64E6">
        <w:t xml:space="preserve"> советский стаж, который формировал экономику, но не всегда корректно попал в пенсионные расчёты.</w:t>
      </w:r>
    </w:p>
    <w:p w14:paraId="7486E314" w14:textId="77777777" w:rsidR="00205B23" w:rsidRPr="002F64E6" w:rsidRDefault="00205B23" w:rsidP="00205B23">
      <w:r w:rsidRPr="002F64E6">
        <w:lastRenderedPageBreak/>
        <w:t>Кому имеет смысл проверить свои права</w:t>
      </w:r>
    </w:p>
    <w:p w14:paraId="75C27EB5" w14:textId="77777777" w:rsidR="00205B23" w:rsidRPr="002F64E6" w:rsidRDefault="00205B23" w:rsidP="00205B23">
      <w:r w:rsidRPr="002F64E6">
        <w:t>В первую очередь — тем, кто начал работать задолго до 1991 года и может подтвердить это документами: трудовой книжкой, справками с предприятий, архивными выписками. Особенно актуально это для тех, кто трудился на производстве, в бюджетной сфере, на селе и имеет непрерывный или почти непрерывный стаж в советский период.</w:t>
      </w:r>
    </w:p>
    <w:p w14:paraId="4183DD1D" w14:textId="7DCB7ACC" w:rsidR="00205B23" w:rsidRPr="002F64E6" w:rsidRDefault="00205B23" w:rsidP="00205B23">
      <w:r w:rsidRPr="002F64E6">
        <w:t xml:space="preserve">Если часть записей в трудовой книжке сделана от руки, есть </w:t>
      </w:r>
      <w:r w:rsidR="00E77AB9">
        <w:t>«</w:t>
      </w:r>
      <w:r w:rsidRPr="002F64E6">
        <w:t>дырки</w:t>
      </w:r>
      <w:r w:rsidR="00E77AB9">
        <w:t>»</w:t>
      </w:r>
      <w:r w:rsidRPr="002F64E6">
        <w:t xml:space="preserve"> в стаже или предприятия уже не существует, не стоит считать проблему нерешаемой: многие документы можно восстановить через архивы.</w:t>
      </w:r>
    </w:p>
    <w:p w14:paraId="7AC68902" w14:textId="77777777" w:rsidR="00205B23" w:rsidRPr="002F64E6" w:rsidRDefault="00205B23" w:rsidP="00205B23">
      <w:r w:rsidRPr="002F64E6">
        <w:t>Как оформить надбавку</w:t>
      </w:r>
    </w:p>
    <w:p w14:paraId="2D830C03" w14:textId="77777777" w:rsidR="00205B23" w:rsidRPr="002F64E6" w:rsidRDefault="00205B23" w:rsidP="00205B23">
      <w:r w:rsidRPr="002F64E6">
        <w:t>Порядок действий стандартный: нужно обратиться в Социальный фонд (бывший ПФР) или МФЦ, запросить подробную выписку о своём стаже и пенсионных правах и уточнить, учтены ли все годы работы до 1991 года. Если есть расхождения, собирают дополнительные справки и подают заявление на перерасчёт пенсии и установление доплаты.</w:t>
      </w:r>
    </w:p>
    <w:p w14:paraId="1770935A" w14:textId="77777777" w:rsidR="00205B23" w:rsidRPr="002F64E6" w:rsidRDefault="00205B23" w:rsidP="00205B23">
      <w:r w:rsidRPr="002F64E6">
        <w:t>Важно понимать: доплата в 1500 рублей — ориентир, конкретный размер и условия зависят от региона и индивидуальной ситуации. Но в условиях постоянно растущих расходов даже такая, на первый взгляд небольшая, сумма становится ощутимой поддержкой.</w:t>
      </w:r>
    </w:p>
    <w:p w14:paraId="54D1A961" w14:textId="65629B3A" w:rsidR="00205B23" w:rsidRPr="002F64E6" w:rsidRDefault="00205B23" w:rsidP="00205B23">
      <w:r w:rsidRPr="002F64E6">
        <w:t xml:space="preserve">Юристы советуют не ждать, что система сама </w:t>
      </w:r>
      <w:r w:rsidR="00E77AB9">
        <w:t>«</w:t>
      </w:r>
      <w:r w:rsidRPr="002F64E6">
        <w:t>вспомнит</w:t>
      </w:r>
      <w:r w:rsidR="00E77AB9">
        <w:t>»</w:t>
      </w:r>
      <w:r w:rsidRPr="002F64E6">
        <w:t xml:space="preserve"> ваш советский стаж. Тем, кто много работал до 1991‑го, новый порядок станет шансом хоть частично вернуть то, что долгое время никак не отражалось в пенсионной выплате.</w:t>
      </w:r>
    </w:p>
    <w:p w14:paraId="0E0ECF53" w14:textId="73CEFBD7" w:rsidR="004307D2" w:rsidRPr="002F64E6" w:rsidRDefault="000D71EB" w:rsidP="00205B23">
      <w:hyperlink r:id="rId35" w:history="1">
        <w:r w:rsidR="00205B23" w:rsidRPr="002F64E6">
          <w:rPr>
            <w:rStyle w:val="a3"/>
          </w:rPr>
          <w:t>https://primpress.ru/article/132333</w:t>
        </w:r>
      </w:hyperlink>
    </w:p>
    <w:p w14:paraId="18302085" w14:textId="77777777" w:rsidR="00205B23" w:rsidRPr="002F64E6" w:rsidRDefault="00205B23" w:rsidP="00205B23">
      <w:pPr>
        <w:pStyle w:val="2"/>
      </w:pPr>
      <w:bookmarkStart w:id="110" w:name="_Toc223591153"/>
      <w:r w:rsidRPr="002F64E6">
        <w:t>PRIMPRESS, 04.03.2026, Какой бонус ждет пенсионеров, имеющих стаж более 30 лет</w:t>
      </w:r>
      <w:bookmarkEnd w:id="110"/>
    </w:p>
    <w:p w14:paraId="095C3E59" w14:textId="21D5DF2A" w:rsidR="00205B23" w:rsidRPr="002F64E6" w:rsidRDefault="00205B23" w:rsidP="003F5B32">
      <w:pPr>
        <w:pStyle w:val="3"/>
      </w:pPr>
      <w:bookmarkStart w:id="111" w:name="_Toc223591154"/>
      <w:r w:rsidRPr="002F64E6">
        <w:t xml:space="preserve">Пенсионеры, у которых за плечами более 30 лет официального стажа, могут рассчитывать не только на базовую страховую пенсию, но и на дополнительные надбавки и льготы. Во многих регионах длинный трудовой путь становится основанием для ощутимого </w:t>
      </w:r>
      <w:r w:rsidR="00E77AB9">
        <w:t>«</w:t>
      </w:r>
      <w:r w:rsidRPr="002F64E6">
        <w:t>бонуса</w:t>
      </w:r>
      <w:r w:rsidR="00E77AB9">
        <w:t>»</w:t>
      </w:r>
      <w:r w:rsidRPr="002F64E6">
        <w:t xml:space="preserve"> к доходу, но важно помнить: большую часть таких мер поддержки по-прежнему нужно оформлять самим, а не ждать автоматического перерасчёта.</w:t>
      </w:r>
      <w:bookmarkEnd w:id="111"/>
    </w:p>
    <w:p w14:paraId="32D0A05E" w14:textId="77777777" w:rsidR="00205B23" w:rsidRPr="002F64E6" w:rsidRDefault="00205B23" w:rsidP="00205B23">
      <w:r w:rsidRPr="002F64E6">
        <w:t>Длинный стаж как реальная прибавка к доходу</w:t>
      </w:r>
    </w:p>
    <w:p w14:paraId="08A50D4B" w14:textId="77777777" w:rsidR="00205B23" w:rsidRPr="002F64E6" w:rsidRDefault="00205B23" w:rsidP="00205B23">
      <w:r w:rsidRPr="002F64E6">
        <w:t>Во многих субъектах РФ продолжительный стаж учитывается при расчёте фиксированной выплаты к пенсии и даёт право на региональные доплаты.</w:t>
      </w:r>
    </w:p>
    <w:p w14:paraId="3EFBB33D" w14:textId="77777777" w:rsidR="00205B23" w:rsidRPr="002F64E6" w:rsidRDefault="00205B23" w:rsidP="00205B23">
      <w:r w:rsidRPr="002F64E6">
        <w:t>Для женщин порог чаще всего начинается с 30 лет, для мужчин может быть выше. Где-то это прибавка в несколько сотен рублей, а где-то — уже заметное увеличение ежемесячного дохода, особенно если базовая пенсия невелика.</w:t>
      </w:r>
    </w:p>
    <w:p w14:paraId="5917FF74" w14:textId="5C378173" w:rsidR="00205B23" w:rsidRPr="002F64E6" w:rsidRDefault="00205B23" w:rsidP="00205B23">
      <w:r w:rsidRPr="002F64E6">
        <w:t xml:space="preserve">Звание </w:t>
      </w:r>
      <w:r w:rsidR="00E77AB9">
        <w:t>«</w:t>
      </w:r>
      <w:r w:rsidRPr="002F64E6">
        <w:t>ветеран труда</w:t>
      </w:r>
      <w:r w:rsidR="00E77AB9">
        <w:t>»</w:t>
      </w:r>
      <w:r w:rsidRPr="002F64E6">
        <w:t xml:space="preserve"> и дополнительные льготы</w:t>
      </w:r>
    </w:p>
    <w:p w14:paraId="08AFEC3F" w14:textId="3ABF3DD5" w:rsidR="00205B23" w:rsidRPr="002F64E6" w:rsidRDefault="00205B23" w:rsidP="00205B23">
      <w:r w:rsidRPr="002F64E6">
        <w:t xml:space="preserve">Именно большой стаж часто открывает дорогу к званию </w:t>
      </w:r>
      <w:r w:rsidR="00E77AB9">
        <w:t>«</w:t>
      </w:r>
      <w:r w:rsidRPr="002F64E6">
        <w:t>ветеран труда</w:t>
      </w:r>
      <w:r w:rsidR="00E77AB9">
        <w:t>»</w:t>
      </w:r>
      <w:r w:rsidRPr="002F64E6">
        <w:t>. К нему, как правило, добавляются награды, почётные грамоты или знаки отличия.</w:t>
      </w:r>
    </w:p>
    <w:p w14:paraId="6006DDF7" w14:textId="77777777" w:rsidR="00205B23" w:rsidRPr="002F64E6" w:rsidRDefault="00205B23" w:rsidP="00205B23">
      <w:r w:rsidRPr="002F64E6">
        <w:lastRenderedPageBreak/>
        <w:t xml:space="preserve">Вместе со статусом пенсионер получает право на скидки по оплате ЖКХ и капремонта, льготный или бесплатный проезд, частичную компенсацию лекарств и </w:t>
      </w:r>
      <w:proofErr w:type="spellStart"/>
      <w:r w:rsidRPr="002F64E6">
        <w:t>медуслуг</w:t>
      </w:r>
      <w:proofErr w:type="spellEnd"/>
      <w:r w:rsidRPr="002F64E6">
        <w:t>, а также отдельные региональные выплаты. В итоге годы работы превращаются не только в денежную надбавку, но и в существенную экономию на обязательных расходах.</w:t>
      </w:r>
    </w:p>
    <w:p w14:paraId="027E2599" w14:textId="77777777" w:rsidR="00205B23" w:rsidRPr="002F64E6" w:rsidRDefault="00205B23" w:rsidP="00205B23">
      <w:r w:rsidRPr="002F64E6">
        <w:t>Что стоит проверить уже сейчас</w:t>
      </w:r>
    </w:p>
    <w:p w14:paraId="3C752265" w14:textId="25017D6D" w:rsidR="00205B23" w:rsidRPr="002F64E6" w:rsidRDefault="00205B23" w:rsidP="00205B23">
      <w:r w:rsidRPr="002F64E6">
        <w:t xml:space="preserve">Эксперты советуют владельцам </w:t>
      </w:r>
      <w:r w:rsidR="00E77AB9">
        <w:t>«</w:t>
      </w:r>
      <w:r w:rsidRPr="002F64E6">
        <w:t>30+</w:t>
      </w:r>
      <w:r w:rsidR="00E77AB9">
        <w:t>»</w:t>
      </w:r>
      <w:r w:rsidRPr="002F64E6">
        <w:t xml:space="preserve"> лет стажа запросить в Социальном фонде подробную выписку о своём стаже и размере пенсии, а затем уточнить в МФЦ или органах соцзащиты, какие именно доплаты и льготы в их регионе положены за длительный трудовой путь.</w:t>
      </w:r>
    </w:p>
    <w:p w14:paraId="74B53EED" w14:textId="77777777" w:rsidR="00205B23" w:rsidRPr="002F64E6" w:rsidRDefault="00205B23" w:rsidP="00205B23">
      <w:r w:rsidRPr="002F64E6">
        <w:t>Тем, кто претендует на статус ветерана труда, имеет смысл поднять документы о наградах и поощрениях и сверить их с действующими требованиями.</w:t>
      </w:r>
    </w:p>
    <w:p w14:paraId="683C10D1" w14:textId="3F3223DF" w:rsidR="00205B23" w:rsidRPr="002F64E6" w:rsidRDefault="00205B23" w:rsidP="00205B23">
      <w:r w:rsidRPr="002F64E6">
        <w:t xml:space="preserve">Почему нельзя рассчитывать только на </w:t>
      </w:r>
      <w:r w:rsidR="00E77AB9">
        <w:t>«</w:t>
      </w:r>
      <w:r w:rsidRPr="002F64E6">
        <w:t>автомат</w:t>
      </w:r>
      <w:r w:rsidR="00E77AB9">
        <w:t>»</w:t>
      </w:r>
    </w:p>
    <w:p w14:paraId="635E128B" w14:textId="77777777" w:rsidR="00205B23" w:rsidRPr="002F64E6" w:rsidRDefault="00205B23" w:rsidP="00205B23">
      <w:r w:rsidRPr="002F64E6">
        <w:t>Многие меры поддержки носят заявительный характер: право есть, но пока пенсионер сам не обратится, никакие бонусы к пенсии ему не начислят.</w:t>
      </w:r>
    </w:p>
    <w:p w14:paraId="2AFA3890" w14:textId="77777777" w:rsidR="00205B23" w:rsidRPr="002F64E6" w:rsidRDefault="00205B23" w:rsidP="00205B23">
      <w:r w:rsidRPr="002F64E6">
        <w:t>Поэтому стаж более 30 лет — это не просто строка в трудовой, а ресурс, который можно превратить в дополнительные деньги и льготы, если вовремя о себе напомнить системе.</w:t>
      </w:r>
    </w:p>
    <w:p w14:paraId="766B097B" w14:textId="6569292B" w:rsidR="00205B23" w:rsidRPr="002F64E6" w:rsidRDefault="000D71EB" w:rsidP="00205B23">
      <w:hyperlink r:id="rId36" w:history="1">
        <w:r w:rsidR="00205B23" w:rsidRPr="002F64E6">
          <w:rPr>
            <w:rStyle w:val="a3"/>
          </w:rPr>
          <w:t>https://primpress.ru/article/132316</w:t>
        </w:r>
      </w:hyperlink>
    </w:p>
    <w:p w14:paraId="54D670EA" w14:textId="77777777" w:rsidR="00B71381" w:rsidRPr="002F64E6" w:rsidRDefault="00B71381" w:rsidP="00B71381">
      <w:pPr>
        <w:pStyle w:val="2"/>
      </w:pPr>
      <w:bookmarkStart w:id="112" w:name="_Toc223591155"/>
      <w:r w:rsidRPr="002F64E6">
        <w:t xml:space="preserve">PRIMPRESS, 04.03.2026, </w:t>
      </w:r>
      <w:proofErr w:type="gramStart"/>
      <w:r w:rsidRPr="002F64E6">
        <w:t>Что</w:t>
      </w:r>
      <w:proofErr w:type="gramEnd"/>
      <w:r w:rsidRPr="002F64E6">
        <w:t xml:space="preserve"> ждёт пенсионеров, у которых есть стаж с 1991 по 1998 год</w:t>
      </w:r>
      <w:bookmarkEnd w:id="112"/>
    </w:p>
    <w:p w14:paraId="41B692FB" w14:textId="61CE2F72" w:rsidR="00B71381" w:rsidRPr="002F64E6" w:rsidRDefault="00B71381" w:rsidP="003F5B32">
      <w:pPr>
        <w:pStyle w:val="3"/>
      </w:pPr>
      <w:bookmarkStart w:id="113" w:name="_Toc223591156"/>
      <w:r w:rsidRPr="002F64E6">
        <w:t xml:space="preserve">У тех, кто работал в </w:t>
      </w:r>
      <w:r w:rsidR="00E77AB9">
        <w:t>«</w:t>
      </w:r>
      <w:r w:rsidRPr="002F64E6">
        <w:t>лихие девяностые</w:t>
      </w:r>
      <w:r w:rsidR="00E77AB9">
        <w:t>»</w:t>
      </w:r>
      <w:r w:rsidRPr="002F64E6">
        <w:t xml:space="preserve"> и имеет стаж с 1991 по 1998 год, в ближайшее время могут появиться дополнительные возможности для перерасчёта пенсии. Речь идёт не о новой надбавке </w:t>
      </w:r>
      <w:r w:rsidR="00E77AB9">
        <w:t>«</w:t>
      </w:r>
      <w:r w:rsidRPr="002F64E6">
        <w:t>автоматом</w:t>
      </w:r>
      <w:r w:rsidR="00E77AB9">
        <w:t>»</w:t>
      </w:r>
      <w:r w:rsidRPr="002F64E6">
        <w:t>, а о более внимательной оценке того, как учитывается этот период в пенсионных правах.</w:t>
      </w:r>
      <w:bookmarkEnd w:id="113"/>
    </w:p>
    <w:p w14:paraId="14317616" w14:textId="77777777" w:rsidR="00B71381" w:rsidRPr="002F64E6" w:rsidRDefault="00B71381" w:rsidP="00B71381">
      <w:r w:rsidRPr="002F64E6">
        <w:t>Почему именно 1991–1998 годы так важны</w:t>
      </w:r>
    </w:p>
    <w:p w14:paraId="488BE7BC" w14:textId="1571344B" w:rsidR="00B71381" w:rsidRPr="002F64E6" w:rsidRDefault="00B71381" w:rsidP="00B71381">
      <w:r w:rsidRPr="002F64E6">
        <w:t xml:space="preserve">Это переходный период от советской системы к современной: менялись формы собственности, предприятия переоформлялись, зарплаты часто выдавали </w:t>
      </w:r>
      <w:r w:rsidR="00E77AB9">
        <w:t>«</w:t>
      </w:r>
      <w:r w:rsidRPr="002F64E6">
        <w:t>в конвертах</w:t>
      </w:r>
      <w:r w:rsidR="00E77AB9">
        <w:t>»</w:t>
      </w:r>
      <w:r w:rsidRPr="002F64E6">
        <w:t>, документы велись с нарушениями.</w:t>
      </w:r>
    </w:p>
    <w:p w14:paraId="3A45E48C" w14:textId="77777777" w:rsidR="00B71381" w:rsidRPr="002F64E6" w:rsidRDefault="00B71381" w:rsidP="00B71381">
      <w:r w:rsidRPr="002F64E6">
        <w:t xml:space="preserve">Из‑за этого у многих пенсионеров девяностые в выписке из ПФР либо отражены </w:t>
      </w:r>
      <w:proofErr w:type="spellStart"/>
      <w:r w:rsidRPr="002F64E6">
        <w:t>неполностью</w:t>
      </w:r>
      <w:proofErr w:type="spellEnd"/>
      <w:r w:rsidRPr="002F64E6">
        <w:t>, либо учтены только по минимальным показателям. В итоге реальный трудовой вклад того времени в пенсии часто недооценён.</w:t>
      </w:r>
    </w:p>
    <w:p w14:paraId="265DB31E" w14:textId="77777777" w:rsidR="00B71381" w:rsidRPr="002F64E6" w:rsidRDefault="00B71381" w:rsidP="00B71381">
      <w:r w:rsidRPr="002F64E6">
        <w:t>Возможен перерасчёт пенсионных прав</w:t>
      </w:r>
    </w:p>
    <w:p w14:paraId="73AD3AB8" w14:textId="789F46CE" w:rsidR="00B71381" w:rsidRPr="002F64E6" w:rsidRDefault="00B71381" w:rsidP="00B71381">
      <w:r w:rsidRPr="002F64E6">
        <w:t xml:space="preserve">Сейчас всё больше внимания уделяется </w:t>
      </w:r>
      <w:r w:rsidR="00E77AB9">
        <w:t>«</w:t>
      </w:r>
      <w:r w:rsidRPr="002F64E6">
        <w:t>выяснению судьбы</w:t>
      </w:r>
      <w:r w:rsidR="00E77AB9">
        <w:t>»</w:t>
      </w:r>
      <w:r w:rsidRPr="002F64E6">
        <w:t xml:space="preserve"> стажа и заработков именно за 1991–1998 годы. Пенсионерам, которые работали в этот период и могут подтвердить:</w:t>
      </w:r>
    </w:p>
    <w:p w14:paraId="57B2A738" w14:textId="77777777" w:rsidR="00B71381" w:rsidRPr="002F64E6" w:rsidRDefault="00B71381" w:rsidP="00B71381">
      <w:r w:rsidRPr="002F64E6">
        <w:t>официальное трудоустройство; размер заработка (справки, архивные данные, приказы); уплату взносов работодателем, в отдельных случаях могут пересчитать пенсионные коэффициенты и учесть более высокий заработок, чем стоит сейчас в базе. Это способ немного увеличить размер пенсии без назначения новых видов доплат.</w:t>
      </w:r>
    </w:p>
    <w:p w14:paraId="7BC5EB47" w14:textId="6E78C5D4" w:rsidR="00B71381" w:rsidRPr="002F64E6" w:rsidRDefault="00B71381" w:rsidP="00B71381">
      <w:r w:rsidRPr="002F64E6">
        <w:t xml:space="preserve">Проблема — утраченные или </w:t>
      </w:r>
      <w:r w:rsidR="00E77AB9">
        <w:t>«</w:t>
      </w:r>
      <w:r w:rsidRPr="002F64E6">
        <w:t>кривые</w:t>
      </w:r>
      <w:r w:rsidR="00E77AB9">
        <w:t>»</w:t>
      </w:r>
      <w:r w:rsidRPr="002F64E6">
        <w:t xml:space="preserve"> документы</w:t>
      </w:r>
    </w:p>
    <w:p w14:paraId="72DFFE1F" w14:textId="77777777" w:rsidR="00B71381" w:rsidRPr="002F64E6" w:rsidRDefault="00B71381" w:rsidP="00B71381">
      <w:r w:rsidRPr="002F64E6">
        <w:lastRenderedPageBreak/>
        <w:t>Главный барьер для многих — состояние документов. Предприятия ликвидированы, архивы переданы не полностью или хранятся в других регионах, трудовые книжки заполнялись с ошибками.</w:t>
      </w:r>
    </w:p>
    <w:p w14:paraId="1624EADE" w14:textId="77777777" w:rsidR="00B71381" w:rsidRPr="002F64E6" w:rsidRDefault="00B71381" w:rsidP="00B71381">
      <w:r w:rsidRPr="002F64E6">
        <w:t>Тем не менее, часть данных можно восстановить через:</w:t>
      </w:r>
    </w:p>
    <w:p w14:paraId="21530704" w14:textId="77777777" w:rsidR="00B71381" w:rsidRPr="002F64E6" w:rsidRDefault="00B71381" w:rsidP="00B71381">
      <w:r w:rsidRPr="002F64E6">
        <w:t xml:space="preserve">запросы в </w:t>
      </w:r>
      <w:proofErr w:type="spellStart"/>
      <w:r w:rsidRPr="002F64E6">
        <w:t>госархивы</w:t>
      </w:r>
      <w:proofErr w:type="spellEnd"/>
      <w:r w:rsidRPr="002F64E6">
        <w:t xml:space="preserve"> и ведомственные архивы бывших предприятий;</w:t>
      </w:r>
    </w:p>
    <w:p w14:paraId="0940D90E" w14:textId="77777777" w:rsidR="00B71381" w:rsidRPr="002F64E6" w:rsidRDefault="00B71381" w:rsidP="00B71381">
      <w:r w:rsidRPr="002F64E6">
        <w:t>справки из налоговых органов;</w:t>
      </w:r>
    </w:p>
    <w:p w14:paraId="17D3B532" w14:textId="77777777" w:rsidR="00B71381" w:rsidRPr="002F64E6" w:rsidRDefault="00B71381" w:rsidP="00B71381">
      <w:r w:rsidRPr="002F64E6">
        <w:t>подтверждающие документы из профсоюзов и отраслевых объединений.</w:t>
      </w:r>
    </w:p>
    <w:p w14:paraId="2FDB011A" w14:textId="77777777" w:rsidR="00B71381" w:rsidRPr="002F64E6" w:rsidRDefault="00B71381" w:rsidP="00B71381">
      <w:r w:rsidRPr="002F64E6">
        <w:t>Чем больше официальных бумаг удастся собрать, тем выше шансы, что пенсионный стаж и заработок за 1991–1998 годы будут учтены более полно.</w:t>
      </w:r>
    </w:p>
    <w:p w14:paraId="79844C17" w14:textId="48713AC1" w:rsidR="00205B23" w:rsidRPr="002F64E6" w:rsidRDefault="000D71EB" w:rsidP="00B71381">
      <w:hyperlink r:id="rId37" w:history="1">
        <w:r w:rsidR="00B71381" w:rsidRPr="002F64E6">
          <w:rPr>
            <w:rStyle w:val="a3"/>
          </w:rPr>
          <w:t>https://primpress.ru/article/132315</w:t>
        </w:r>
      </w:hyperlink>
    </w:p>
    <w:p w14:paraId="2296C4E0" w14:textId="77777777" w:rsidR="00B71381" w:rsidRPr="002F64E6" w:rsidRDefault="00B71381" w:rsidP="00B71381"/>
    <w:p w14:paraId="5A637E07" w14:textId="77777777" w:rsidR="00111D7C" w:rsidRPr="003665FD" w:rsidRDefault="00111D7C" w:rsidP="00111D7C">
      <w:pPr>
        <w:pStyle w:val="251"/>
      </w:pPr>
      <w:bookmarkStart w:id="114" w:name="_Toc99271704"/>
      <w:bookmarkStart w:id="115" w:name="_Toc99318656"/>
      <w:bookmarkStart w:id="116" w:name="_Toc165991076"/>
      <w:bookmarkStart w:id="117" w:name="_Toc223591157"/>
      <w:bookmarkStart w:id="118" w:name="_Toc62681899"/>
      <w:bookmarkEnd w:id="25"/>
      <w:bookmarkEnd w:id="26"/>
      <w:bookmarkEnd w:id="27"/>
      <w:bookmarkEnd w:id="40"/>
      <w:r w:rsidRPr="002F64E6">
        <w:lastRenderedPageBreak/>
        <w:t>НОВОСТИ МАКРОЭКОНОМИКИ</w:t>
      </w:r>
      <w:bookmarkEnd w:id="114"/>
      <w:bookmarkEnd w:id="115"/>
      <w:bookmarkEnd w:id="116"/>
      <w:bookmarkEnd w:id="117"/>
    </w:p>
    <w:p w14:paraId="5EE8F580" w14:textId="05ADDA59" w:rsidR="00EE5E1B" w:rsidRPr="00EE5E1B" w:rsidRDefault="00EE5E1B" w:rsidP="00EE5E1B">
      <w:pPr>
        <w:pStyle w:val="2"/>
      </w:pPr>
      <w:bookmarkStart w:id="119" w:name="_Toc223591158"/>
      <w:r w:rsidRPr="00EE5E1B">
        <w:t>Коммерсантъ, 05.03.2026, Долговой рынок выходит из спячки</w:t>
      </w:r>
      <w:bookmarkEnd w:id="119"/>
    </w:p>
    <w:p w14:paraId="07033A42" w14:textId="77777777" w:rsidR="00EE5E1B" w:rsidRPr="0052610B" w:rsidRDefault="00EE5E1B" w:rsidP="00EE5E1B">
      <w:pPr>
        <w:pStyle w:val="3"/>
      </w:pPr>
      <w:bookmarkStart w:id="120" w:name="_Toc223591159"/>
      <w:r w:rsidRPr="0052610B">
        <w:t>Активность корпоративных заемщиков на долговом рынке в феврале 2026 года значительно выросла. По итогам месяца эмитенты разместили облигации более чем на 543 млрд руб.— вдвое больше, чем месяцем ранее. При этом объем размещений долговых бумаг второй месяц подряд остается ниже объема погашений облигаций. Впрочем, в марте участники рынка ждут увеличения активности эмитентов, в том числе за счет увеличения их потребности в рефинансировании выпусков облигаций и банковских кредитов.</w:t>
      </w:r>
      <w:bookmarkEnd w:id="120"/>
    </w:p>
    <w:p w14:paraId="21DEB90A" w14:textId="77777777" w:rsidR="00EE5E1B" w:rsidRPr="0052610B" w:rsidRDefault="00EE5E1B" w:rsidP="00EE5E1B">
      <w:r w:rsidRPr="0052610B">
        <w:t xml:space="preserve">По данным </w:t>
      </w:r>
      <w:proofErr w:type="spellStart"/>
      <w:r w:rsidRPr="00EE5E1B">
        <w:rPr>
          <w:lang w:val="en-US"/>
        </w:rPr>
        <w:t>Cbonds</w:t>
      </w:r>
      <w:proofErr w:type="spellEnd"/>
      <w:r w:rsidRPr="0052610B">
        <w:t>, в феврале корпоративные заемщики увеличили активность на внутреннем рынке долга. За месяц они завершили 121 размещение облигаций на сумму 543 млрд руб. Это более чем вдвое превышает результат января, но на 13% ниже значений февраля 2025 года. По 22 выпускам на общую сумму 44,4 млрд руб. в феврале закончился технический период размещений, но фактически они прошли раньше, уточняет главный аналитик долговых рынков БК «Регион» Александр Ермак.</w:t>
      </w:r>
    </w:p>
    <w:p w14:paraId="786D7DE9" w14:textId="77777777" w:rsidR="00EE5E1B" w:rsidRPr="0052610B" w:rsidRDefault="00EE5E1B" w:rsidP="00EE5E1B">
      <w:r w:rsidRPr="0052610B">
        <w:t>Основной вклад в общий объем размещений внесли компании реального сектора. По оценке господина Ермака, на этих эмитентов пришлось более 72% всего объема размещений. Банки и лизинговые компании заняли около 20% рынка. При этом заметную долю рынка составили крупные сделки.</w:t>
      </w:r>
    </w:p>
    <w:p w14:paraId="1B844636" w14:textId="77777777" w:rsidR="00EE5E1B" w:rsidRPr="0052610B" w:rsidRDefault="00EE5E1B" w:rsidP="00EE5E1B">
      <w:r w:rsidRPr="0052610B">
        <w:t>По оценке Александра Ермака, на четыре крупнейших размещения с объемом свыше 30 млрд руб. («Магнит», «</w:t>
      </w:r>
      <w:proofErr w:type="spellStart"/>
      <w:r w:rsidRPr="0052610B">
        <w:t>Металлоинвест</w:t>
      </w:r>
      <w:proofErr w:type="spellEnd"/>
      <w:r w:rsidRPr="0052610B">
        <w:t xml:space="preserve">», «Газпром Капитал», </w:t>
      </w:r>
      <w:proofErr w:type="spellStart"/>
      <w:r w:rsidRPr="0052610B">
        <w:t>Альфа-банк</w:t>
      </w:r>
      <w:proofErr w:type="spellEnd"/>
      <w:r w:rsidRPr="0052610B">
        <w:t>) пришлось около 37% от общего объема привлечений.</w:t>
      </w:r>
    </w:p>
    <w:p w14:paraId="3C86551E" w14:textId="77777777" w:rsidR="00EE5E1B" w:rsidRPr="0052610B" w:rsidRDefault="00EE5E1B" w:rsidP="00EE5E1B">
      <w:r w:rsidRPr="0052610B">
        <w:t xml:space="preserve">Второй месяц подряд объем размещений уступает объемам погашений корпоративных займов. По данным </w:t>
      </w:r>
      <w:proofErr w:type="spellStart"/>
      <w:r w:rsidRPr="00EE5E1B">
        <w:rPr>
          <w:lang w:val="en-US"/>
        </w:rPr>
        <w:t>Cbonds</w:t>
      </w:r>
      <w:proofErr w:type="spellEnd"/>
      <w:r w:rsidRPr="0052610B">
        <w:t xml:space="preserve">, в феврале эмитенты погасили и выкупили у инвесторов облигации на 662 млрд руб., и дефицит предложения составил почти 120 млрд руб. С начала года он достиг почти 500 млрд руб. В 2025 году была обратная ситуация: профицит предложения в январе—феврале составил 145 млрд руб. и 1,1 трлн руб. по итогам года. «Нельзя исключать, что часть эмитентов пересмотрела инвестиционные программы и оптимизирует </w:t>
      </w:r>
      <w:r w:rsidRPr="00EE5E1B">
        <w:rPr>
          <w:lang w:val="en-US"/>
        </w:rPr>
        <w:t>CAPEX</w:t>
      </w:r>
      <w:r w:rsidRPr="0052610B">
        <w:t xml:space="preserve"> в условиях сохраняющейся жесткой денежно-кредитной политики. Снижение инвестиционной активности неизбежно отражается и на потребности в заимствованиях</w:t>
      </w:r>
      <w:proofErr w:type="gramStart"/>
      <w:r w:rsidRPr="0052610B">
        <w:t>»,—</w:t>
      </w:r>
      <w:proofErr w:type="gramEnd"/>
      <w:r w:rsidRPr="0052610B">
        <w:t xml:space="preserve"> отмечает начальник управления рынков капитала Сбербанка Эдуард </w:t>
      </w:r>
      <w:proofErr w:type="spellStart"/>
      <w:r w:rsidRPr="0052610B">
        <w:t>Джабаров</w:t>
      </w:r>
      <w:proofErr w:type="spellEnd"/>
      <w:r w:rsidRPr="0052610B">
        <w:t>.</w:t>
      </w:r>
    </w:p>
    <w:p w14:paraId="087C2F07" w14:textId="77777777" w:rsidR="00EE5E1B" w:rsidRPr="0052610B" w:rsidRDefault="00EE5E1B" w:rsidP="00EE5E1B">
      <w:r w:rsidRPr="0052610B">
        <w:t>Интересна текущая ситуация тем, что в настоящее время ключевая ставка Банка России находится на уровне 15,5%, тогда как годом ранее составляла 21%. «В начале 2025 года рынок рос на фоне ожиданий смягчения денежно-кредитной политики. К концу же года ситуация изменилась. Продолжительная коррекция (</w:t>
      </w:r>
      <w:r w:rsidRPr="00EE5E1B">
        <w:rPr>
          <w:lang w:val="en-US"/>
        </w:rPr>
        <w:t>c</w:t>
      </w:r>
      <w:r w:rsidRPr="0052610B">
        <w:t xml:space="preserve"> осени 2025 </w:t>
      </w:r>
      <w:proofErr w:type="gramStart"/>
      <w:r w:rsidRPr="0052610B">
        <w:t>года.—</w:t>
      </w:r>
      <w:proofErr w:type="gramEnd"/>
      <w:r w:rsidRPr="0052610B">
        <w:t xml:space="preserve"> “Ъ”) привела к снижению объемов и числа сделок, </w:t>
      </w:r>
      <w:proofErr w:type="spellStart"/>
      <w:r w:rsidRPr="0052610B">
        <w:t>переподписка</w:t>
      </w:r>
      <w:proofErr w:type="spellEnd"/>
      <w:r w:rsidRPr="0052610B">
        <w:t xml:space="preserve"> стала менее выраженной, а ценовые ориентиры — более консервативными»,— отмечает директор управления по работе на рынках долгового капитала </w:t>
      </w:r>
      <w:proofErr w:type="spellStart"/>
      <w:r w:rsidRPr="0052610B">
        <w:t>Совкомбанка</w:t>
      </w:r>
      <w:proofErr w:type="spellEnd"/>
      <w:r w:rsidRPr="0052610B">
        <w:t xml:space="preserve"> Екатерина Малеева. Ряд компаний «не смогли привлечь финансирование в запланированном объеме», констатирует она. В начале 2026 года неопределенность в отношении дальнейшего движения ключевой ставки сохраняется, что, по мнению госпожи Малеевой, затрудняет выбор оптимальной структуры заимствований.</w:t>
      </w:r>
    </w:p>
    <w:p w14:paraId="1F24CBD4" w14:textId="77777777" w:rsidR="00EE5E1B" w:rsidRPr="0052610B" w:rsidRDefault="00EE5E1B" w:rsidP="00EE5E1B">
      <w:r w:rsidRPr="0052610B">
        <w:lastRenderedPageBreak/>
        <w:t>В этих условиях эмитенты вновь начали активно использовать облигации с плавающей ставкой. По оценке Александра Ермака, состоялось 16 выпусков таких корпоративных облигаций на общую сумму почти 355 млрд руб.</w:t>
      </w:r>
    </w:p>
    <w:p w14:paraId="61AC44E7" w14:textId="77777777" w:rsidR="00EE5E1B" w:rsidRPr="0052610B" w:rsidRDefault="00EE5E1B" w:rsidP="00EE5E1B">
      <w:r w:rsidRPr="0052610B">
        <w:t xml:space="preserve">Помимо крупнейших размещений здесь можно выделить «Икс 5 </w:t>
      </w:r>
      <w:proofErr w:type="spellStart"/>
      <w:r w:rsidRPr="0052610B">
        <w:t>Финанс</w:t>
      </w:r>
      <w:proofErr w:type="spellEnd"/>
      <w:r w:rsidRPr="0052610B">
        <w:t>» (20 млрд руб.), МТС (20 млрд руб.), ПСБ (15 млрд руб.). «Эмитенты по-прежнему считают текущий уровень ставок высоким. В результате рынок остается смещенным в сторону коротких и плавающих инструментов, что сужает круг инвесторов и ограничивает глубину спроса</w:t>
      </w:r>
      <w:proofErr w:type="gramStart"/>
      <w:r w:rsidRPr="0052610B">
        <w:t>»,—</w:t>
      </w:r>
      <w:proofErr w:type="gramEnd"/>
      <w:r w:rsidRPr="0052610B">
        <w:t xml:space="preserve"> отмечает Эдуард </w:t>
      </w:r>
      <w:proofErr w:type="spellStart"/>
      <w:r w:rsidRPr="0052610B">
        <w:t>Джабаров</w:t>
      </w:r>
      <w:proofErr w:type="spellEnd"/>
      <w:r w:rsidRPr="0052610B">
        <w:t xml:space="preserve">. В первые два месяца 2026 года на рынке почти не было пенсионных и страховых денег, традиционно ориентированных на инструменты с фиксированным купоном и длинной </w:t>
      </w:r>
      <w:proofErr w:type="spellStart"/>
      <w:r w:rsidRPr="0052610B">
        <w:t>дюрацией</w:t>
      </w:r>
      <w:proofErr w:type="spellEnd"/>
      <w:r w:rsidRPr="0052610B">
        <w:t xml:space="preserve">, отмечает господин </w:t>
      </w:r>
      <w:proofErr w:type="spellStart"/>
      <w:r w:rsidRPr="0052610B">
        <w:t>Джабаров</w:t>
      </w:r>
      <w:proofErr w:type="spellEnd"/>
      <w:r w:rsidRPr="0052610B">
        <w:t>.</w:t>
      </w:r>
    </w:p>
    <w:p w14:paraId="28DC374C" w14:textId="77777777" w:rsidR="00EE5E1B" w:rsidRPr="0052610B" w:rsidRDefault="00EE5E1B" w:rsidP="00EE5E1B">
      <w:r w:rsidRPr="0052610B">
        <w:t xml:space="preserve">В весенние месяцы участники рынка ожидают дальнейшего роста, чему будет способствовать сохраняющаяся потребность в рефинансировании облигаций и замещении банковских кредитов. «Потенциал рефинансирования в 2026 году сопоставим с 2025 годом, что будет поддерживать </w:t>
      </w:r>
      <w:proofErr w:type="spellStart"/>
      <w:r w:rsidRPr="0052610B">
        <w:t>пайплайн</w:t>
      </w:r>
      <w:proofErr w:type="spellEnd"/>
      <w:r w:rsidRPr="0052610B">
        <w:t xml:space="preserve"> сделок на высоком уровне в широком спектре инструментов, секторов и эшелонов эмитентов</w:t>
      </w:r>
      <w:proofErr w:type="gramStart"/>
      <w:r w:rsidRPr="0052610B">
        <w:t>»,—</w:t>
      </w:r>
      <w:proofErr w:type="gramEnd"/>
      <w:r w:rsidRPr="0052610B">
        <w:t xml:space="preserve"> отмечает исполнительный вице-президент—начальник департамента инструментов долгового рынка Газпромбанка Алексей Руденко. Екатерина Малеева добавляет, что в </w:t>
      </w:r>
      <w:proofErr w:type="spellStart"/>
      <w:r w:rsidRPr="0052610B">
        <w:t>пайплайне</w:t>
      </w:r>
      <w:proofErr w:type="spellEnd"/>
      <w:r w:rsidRPr="0052610B">
        <w:t xml:space="preserve"> банка находится значительное число сделок, включая дебютные размещения. В частности, «сохраняется интерес к размещениям со стороны компаний добывающего сектора, ритейла и финансовых организаций», отмечает она.</w:t>
      </w:r>
    </w:p>
    <w:p w14:paraId="3ECB3741" w14:textId="23422F3C" w:rsidR="00EE5E1B" w:rsidRPr="003665FD" w:rsidRDefault="00EE5E1B" w:rsidP="00EE5E1B">
      <w:r w:rsidRPr="003665FD">
        <w:t>Виталий Гайдаев</w:t>
      </w:r>
    </w:p>
    <w:p w14:paraId="7F3397AE" w14:textId="0754A7AA" w:rsidR="0052610B" w:rsidRPr="0052610B" w:rsidRDefault="0052610B" w:rsidP="0052610B">
      <w:pPr>
        <w:pStyle w:val="2"/>
      </w:pPr>
      <w:bookmarkStart w:id="121" w:name="_Toc223591160"/>
      <w:r w:rsidRPr="0052610B">
        <w:t xml:space="preserve">Ведомости, 04.03.2026, </w:t>
      </w:r>
      <w:proofErr w:type="spellStart"/>
      <w:r w:rsidRPr="0052610B">
        <w:t>Минэк</w:t>
      </w:r>
      <w:proofErr w:type="spellEnd"/>
      <w:r w:rsidRPr="0052610B">
        <w:t xml:space="preserve"> оценил спад ВВП в 2,1% в январе</w:t>
      </w:r>
      <w:bookmarkEnd w:id="121"/>
    </w:p>
    <w:p w14:paraId="794EE9D7" w14:textId="77777777" w:rsidR="0052610B" w:rsidRPr="0052610B" w:rsidRDefault="0052610B" w:rsidP="0052610B">
      <w:pPr>
        <w:pStyle w:val="3"/>
      </w:pPr>
      <w:bookmarkStart w:id="122" w:name="_Toc223591161"/>
      <w:r w:rsidRPr="0052610B">
        <w:t>ВВП России сократился в январе на 2,1% в годовом выражении, сообщает Минэкономразвития в обзоре «О текущей ситуации в экономике». По данным министерства, в декабре прошлого года фиксировался всплеск роста ВВП - 1,9% после 0,1% в ноябре. В целом за год экономика выросла на 1%.</w:t>
      </w:r>
      <w:bookmarkEnd w:id="122"/>
    </w:p>
    <w:p w14:paraId="636DD211" w14:textId="77777777" w:rsidR="0052610B" w:rsidRPr="0052610B" w:rsidRDefault="0052610B" w:rsidP="0052610B">
      <w:r w:rsidRPr="0052610B">
        <w:t>На динамику ВВП в январе оказали влияние несколько факторов: высокая база прошлого года (в январе 2025 г. рост был 2,9</w:t>
      </w:r>
      <w:proofErr w:type="gramStart"/>
      <w:r w:rsidRPr="0052610B">
        <w:t>% )</w:t>
      </w:r>
      <w:proofErr w:type="gramEnd"/>
      <w:r w:rsidRPr="0052610B">
        <w:t>, а также календарный фактор - в январе 2026 г. было на два рабочих дня меньше, чем в январе 2025 г., сообщает министерство.</w:t>
      </w:r>
    </w:p>
    <w:p w14:paraId="0720C4D9" w14:textId="77777777" w:rsidR="0052610B" w:rsidRPr="0052610B" w:rsidRDefault="0052610B" w:rsidP="0052610B">
      <w:r w:rsidRPr="0052610B">
        <w:t>Индекс промышленного производства в январе составил -0,8% год к году после ускорения темпов роста до 3,7% в декабре. Выпуск обрабатывающей промышленности в январе сократился на 3,0% год к году после роста на 7,8% в декабре.</w:t>
      </w:r>
    </w:p>
    <w:p w14:paraId="0F2C772D" w14:textId="77777777" w:rsidR="0052610B" w:rsidRPr="00BC6B96" w:rsidRDefault="0052610B" w:rsidP="0052610B">
      <w:r w:rsidRPr="00BC6B96">
        <w:t>Объемы строительных работ по итогам января 2026 г. составили -16,0% год к году после +4,8% в прошлом месяце. «Такая динамика в большей степени связана с погодным фактором - в январе 2026 г. фиксировалась гораздо более низкая температура, чем в январе 2025 г. Январь прошлого года в центральной части России был аномально теплым, что сопровождалось высокими темпами роста отрасли: +6,0% год к году», - отмечается в обзоре Минэкономразвития.</w:t>
      </w:r>
    </w:p>
    <w:p w14:paraId="37E4B19F" w14:textId="77777777" w:rsidR="0052610B" w:rsidRPr="00BC6B96" w:rsidRDefault="0052610B" w:rsidP="0052610B">
      <w:r w:rsidRPr="00BC6B96">
        <w:t xml:space="preserve">26 января Центробанк оценил рост ВВП России в </w:t>
      </w:r>
      <w:r w:rsidRPr="0052610B">
        <w:rPr>
          <w:lang w:val="en-US"/>
        </w:rPr>
        <w:t>IV</w:t>
      </w:r>
      <w:r w:rsidRPr="00BC6B96">
        <w:t xml:space="preserve"> квартале 2025 г. в годовом выражении в 0,5% в рамках ноябрьского прогноза.</w:t>
      </w:r>
    </w:p>
    <w:p w14:paraId="66899154" w14:textId="5B7EE40C" w:rsidR="0052610B" w:rsidRPr="00BC6B96" w:rsidRDefault="0052610B" w:rsidP="0052610B">
      <w:r w:rsidRPr="00BC6B96">
        <w:lastRenderedPageBreak/>
        <w:t>Банк России также сохранил прогноз роста ВВП в 2026 г. в интервале 0,5-1,5%. Он также ожидает роста российской экономики в 2027-2028 гг. на уровне 1,5-2,5%.</w:t>
      </w:r>
    </w:p>
    <w:p w14:paraId="13FFC1A3" w14:textId="2F51EE1B" w:rsidR="0052610B" w:rsidRPr="003665FD" w:rsidRDefault="000D71EB" w:rsidP="0052610B">
      <w:hyperlink r:id="rId38" w:history="1">
        <w:r w:rsidR="0052610B" w:rsidRPr="00C91C33">
          <w:rPr>
            <w:rStyle w:val="a3"/>
            <w:lang w:val="en-US"/>
          </w:rPr>
          <w:t>https</w:t>
        </w:r>
        <w:r w:rsidR="0052610B" w:rsidRPr="00BC6B96">
          <w:rPr>
            <w:rStyle w:val="a3"/>
          </w:rPr>
          <w:t>://</w:t>
        </w:r>
        <w:r w:rsidR="0052610B" w:rsidRPr="00C91C33">
          <w:rPr>
            <w:rStyle w:val="a3"/>
            <w:lang w:val="en-US"/>
          </w:rPr>
          <w:t>www</w:t>
        </w:r>
        <w:r w:rsidR="0052610B" w:rsidRPr="00BC6B96">
          <w:rPr>
            <w:rStyle w:val="a3"/>
          </w:rPr>
          <w:t>.</w:t>
        </w:r>
        <w:proofErr w:type="spellStart"/>
        <w:r w:rsidR="0052610B" w:rsidRPr="00C91C33">
          <w:rPr>
            <w:rStyle w:val="a3"/>
            <w:lang w:val="en-US"/>
          </w:rPr>
          <w:t>vedomosti</w:t>
        </w:r>
        <w:proofErr w:type="spellEnd"/>
        <w:r w:rsidR="0052610B" w:rsidRPr="00BC6B96">
          <w:rPr>
            <w:rStyle w:val="a3"/>
          </w:rPr>
          <w:t>.</w:t>
        </w:r>
        <w:proofErr w:type="spellStart"/>
        <w:r w:rsidR="0052610B" w:rsidRPr="00C91C33">
          <w:rPr>
            <w:rStyle w:val="a3"/>
            <w:lang w:val="en-US"/>
          </w:rPr>
          <w:t>ru</w:t>
        </w:r>
        <w:proofErr w:type="spellEnd"/>
        <w:r w:rsidR="0052610B" w:rsidRPr="00BC6B96">
          <w:rPr>
            <w:rStyle w:val="a3"/>
          </w:rPr>
          <w:t>/</w:t>
        </w:r>
        <w:r w:rsidR="0052610B" w:rsidRPr="00C91C33">
          <w:rPr>
            <w:rStyle w:val="a3"/>
            <w:lang w:val="en-US"/>
          </w:rPr>
          <w:t>economics</w:t>
        </w:r>
        <w:r w:rsidR="0052610B" w:rsidRPr="00BC6B96">
          <w:rPr>
            <w:rStyle w:val="a3"/>
          </w:rPr>
          <w:t>/</w:t>
        </w:r>
        <w:r w:rsidR="0052610B" w:rsidRPr="00C91C33">
          <w:rPr>
            <w:rStyle w:val="a3"/>
            <w:lang w:val="en-US"/>
          </w:rPr>
          <w:t>news</w:t>
        </w:r>
        <w:r w:rsidR="0052610B" w:rsidRPr="00BC6B96">
          <w:rPr>
            <w:rStyle w:val="a3"/>
          </w:rPr>
          <w:t>/2026/03/04/1180786-</w:t>
        </w:r>
        <w:proofErr w:type="spellStart"/>
        <w:r w:rsidR="0052610B" w:rsidRPr="00C91C33">
          <w:rPr>
            <w:rStyle w:val="a3"/>
            <w:lang w:val="en-US"/>
          </w:rPr>
          <w:t>minek</w:t>
        </w:r>
        <w:proofErr w:type="spellEnd"/>
        <w:r w:rsidR="0052610B" w:rsidRPr="00BC6B96">
          <w:rPr>
            <w:rStyle w:val="a3"/>
          </w:rPr>
          <w:t>-</w:t>
        </w:r>
        <w:proofErr w:type="spellStart"/>
        <w:r w:rsidR="0052610B" w:rsidRPr="00C91C33">
          <w:rPr>
            <w:rStyle w:val="a3"/>
            <w:lang w:val="en-US"/>
          </w:rPr>
          <w:t>spad</w:t>
        </w:r>
        <w:proofErr w:type="spellEnd"/>
        <w:r w:rsidR="0052610B" w:rsidRPr="00BC6B96">
          <w:rPr>
            <w:rStyle w:val="a3"/>
          </w:rPr>
          <w:t>-</w:t>
        </w:r>
        <w:proofErr w:type="spellStart"/>
        <w:r w:rsidR="0052610B" w:rsidRPr="00C91C33">
          <w:rPr>
            <w:rStyle w:val="a3"/>
            <w:lang w:val="en-US"/>
          </w:rPr>
          <w:t>vvp</w:t>
        </w:r>
        <w:proofErr w:type="spellEnd"/>
      </w:hyperlink>
      <w:r w:rsidR="0052610B" w:rsidRPr="00BC6B96">
        <w:t xml:space="preserve"> </w:t>
      </w:r>
    </w:p>
    <w:p w14:paraId="4FD2B4B9" w14:textId="35B06C06" w:rsidR="00BC6B96" w:rsidRPr="00BC6B96" w:rsidRDefault="00BC6B96" w:rsidP="00BC6B96">
      <w:pPr>
        <w:pStyle w:val="2"/>
      </w:pPr>
      <w:bookmarkStart w:id="123" w:name="_Toc223591162"/>
      <w:r w:rsidRPr="00BC6B96">
        <w:t>Ведомости, 04.03.2026, Минфин продал 13,2 млрд юаней из ФНБ для финансирования дефицита бюджета</w:t>
      </w:r>
      <w:bookmarkEnd w:id="123"/>
    </w:p>
    <w:p w14:paraId="616C0249" w14:textId="77777777" w:rsidR="00BC6B96" w:rsidRPr="00BC6B96" w:rsidRDefault="00BC6B96" w:rsidP="00BC6B96">
      <w:pPr>
        <w:pStyle w:val="3"/>
      </w:pPr>
      <w:bookmarkStart w:id="124" w:name="_Toc223591163"/>
      <w:r w:rsidRPr="00BC6B96">
        <w:t>Минфин РФ в феврале 2026 г. продал 13,2 млрд китайских юаней и 7,9 т золота из Фонда национального благосостояния (ФНБ) для финансирования дефицита федерального бюджета. Об этом говорится в сообщении министерства на его сайте.</w:t>
      </w:r>
      <w:bookmarkEnd w:id="124"/>
    </w:p>
    <w:p w14:paraId="07A085A3" w14:textId="77777777" w:rsidR="00BC6B96" w:rsidRPr="00BC6B96" w:rsidRDefault="00BC6B96" w:rsidP="00BC6B96">
      <w:r w:rsidRPr="00BC6B96">
        <w:t>По данным ведомства, в феврале часть средств ФНБ, размещенных на счетах в Банке России, в объеме 13 227,4 млн юаней и 7896,5 кг золота в обезличенной форме была реализована за 244,4 млрд руб. Полученные средства были зачислены на единый счет федерального бюджета.</w:t>
      </w:r>
    </w:p>
    <w:p w14:paraId="34336CE5" w14:textId="77777777" w:rsidR="00BC6B96" w:rsidRPr="00BC6B96" w:rsidRDefault="00BC6B96" w:rsidP="00BC6B96">
      <w:r w:rsidRPr="00BC6B96">
        <w:t>Кроме того, в феврале средства ФНБ в размере 2,76 млрд руб. были конвертированы в 248,7 млн китайских юаней.</w:t>
      </w:r>
    </w:p>
    <w:p w14:paraId="33E56D40" w14:textId="77777777" w:rsidR="00BC6B96" w:rsidRPr="00BC6B96" w:rsidRDefault="00BC6B96" w:rsidP="00BC6B96">
      <w:r w:rsidRPr="00BC6B96">
        <w:t>По состоянию на конец месяца на отдельных счетах по учету средств ФНБ в Банке России размещено 188 087,1 млн юаней, а также 147 197,2 кг золота в обезличенной форме. Эти средства продолжают использоваться как часть резервов фонда.</w:t>
      </w:r>
    </w:p>
    <w:p w14:paraId="039D04D9" w14:textId="77777777" w:rsidR="00BC6B96" w:rsidRPr="00BC6B96" w:rsidRDefault="00BC6B96" w:rsidP="00BC6B96">
      <w:r w:rsidRPr="00BC6B96">
        <w:t>Опрошенные «Ведомостями» эксперты ожидают, что ужесточение бюджетного правила, в том числе снижение цены отсечения, которое анонсировал Минфин, приведет к ослаблению рубля. Аналитики допустили, что снижение порога до $40-50/</w:t>
      </w:r>
      <w:proofErr w:type="spellStart"/>
      <w:r w:rsidRPr="00BC6B96">
        <w:t>барр</w:t>
      </w:r>
      <w:proofErr w:type="spellEnd"/>
      <w:r w:rsidRPr="00BC6B96">
        <w:t xml:space="preserve">. может ослабить рубль до 80-85 руб./$ во </w:t>
      </w:r>
      <w:r w:rsidRPr="00BC6B96">
        <w:rPr>
          <w:lang w:val="en-US"/>
        </w:rPr>
        <w:t>II</w:t>
      </w:r>
      <w:r w:rsidRPr="00BC6B96">
        <w:t xml:space="preserve"> квартале, а к концу года валюта может уйти до 90 руб./$. В то же время оценить эффект на экономику и бюджет можно только после уточнения конкретных параметров бюджетного правила.</w:t>
      </w:r>
    </w:p>
    <w:p w14:paraId="7510DEB5" w14:textId="39CFAF15" w:rsidR="00BC6B96" w:rsidRPr="00BC6B96" w:rsidRDefault="00BC6B96" w:rsidP="00BC6B96">
      <w:r w:rsidRPr="00BC6B96">
        <w:t>Власти намерены скорректировать цену отсечения на нефть в бюджетном правиле - она определяет объем покупок и продаж валюты из ФНБ и предельный уровень расходов бюджета. Дополнительные доходы бюджета от продажи нефти по ценам выше установленной планки направляются на покупку иностранной валюты и золота для ФНБ. Если поступления оказываются ниже запланированных, Минфин продает активы для покрытия недостатка.</w:t>
      </w:r>
    </w:p>
    <w:p w14:paraId="4A1686CF" w14:textId="3E9B2622" w:rsidR="00BC6B96" w:rsidRPr="00AF416F" w:rsidRDefault="000D71EB" w:rsidP="00BC6B96">
      <w:hyperlink r:id="rId39" w:history="1">
        <w:r w:rsidR="00BC6B96" w:rsidRPr="00C91C33">
          <w:rPr>
            <w:rStyle w:val="a3"/>
            <w:lang w:val="en-US"/>
          </w:rPr>
          <w:t>https</w:t>
        </w:r>
        <w:r w:rsidR="00BC6B96" w:rsidRPr="00C91C33">
          <w:rPr>
            <w:rStyle w:val="a3"/>
          </w:rPr>
          <w:t>://</w:t>
        </w:r>
        <w:r w:rsidR="00BC6B96" w:rsidRPr="00C91C33">
          <w:rPr>
            <w:rStyle w:val="a3"/>
            <w:lang w:val="en-US"/>
          </w:rPr>
          <w:t>www</w:t>
        </w:r>
        <w:r w:rsidR="00BC6B96" w:rsidRPr="00C91C33">
          <w:rPr>
            <w:rStyle w:val="a3"/>
          </w:rPr>
          <w:t>.</w:t>
        </w:r>
        <w:proofErr w:type="spellStart"/>
        <w:r w:rsidR="00BC6B96" w:rsidRPr="00C91C33">
          <w:rPr>
            <w:rStyle w:val="a3"/>
            <w:lang w:val="en-US"/>
          </w:rPr>
          <w:t>vedomosti</w:t>
        </w:r>
        <w:proofErr w:type="spellEnd"/>
        <w:r w:rsidR="00BC6B96" w:rsidRPr="00C91C33">
          <w:rPr>
            <w:rStyle w:val="a3"/>
          </w:rPr>
          <w:t>.</w:t>
        </w:r>
        <w:proofErr w:type="spellStart"/>
        <w:r w:rsidR="00BC6B96" w:rsidRPr="00C91C33">
          <w:rPr>
            <w:rStyle w:val="a3"/>
            <w:lang w:val="en-US"/>
          </w:rPr>
          <w:t>ru</w:t>
        </w:r>
        <w:proofErr w:type="spellEnd"/>
        <w:r w:rsidR="00BC6B96" w:rsidRPr="00C91C33">
          <w:rPr>
            <w:rStyle w:val="a3"/>
          </w:rPr>
          <w:t>/</w:t>
        </w:r>
        <w:r w:rsidR="00BC6B96" w:rsidRPr="00C91C33">
          <w:rPr>
            <w:rStyle w:val="a3"/>
            <w:lang w:val="en-US"/>
          </w:rPr>
          <w:t>economics</w:t>
        </w:r>
        <w:r w:rsidR="00BC6B96" w:rsidRPr="00C91C33">
          <w:rPr>
            <w:rStyle w:val="a3"/>
          </w:rPr>
          <w:t>/</w:t>
        </w:r>
        <w:r w:rsidR="00BC6B96" w:rsidRPr="00C91C33">
          <w:rPr>
            <w:rStyle w:val="a3"/>
            <w:lang w:val="en-US"/>
          </w:rPr>
          <w:t>news</w:t>
        </w:r>
        <w:r w:rsidR="00BC6B96" w:rsidRPr="00C91C33">
          <w:rPr>
            <w:rStyle w:val="a3"/>
          </w:rPr>
          <w:t>/2026/03/02/1180777-</w:t>
        </w:r>
        <w:proofErr w:type="spellStart"/>
        <w:r w:rsidR="00BC6B96" w:rsidRPr="00C91C33">
          <w:rPr>
            <w:rStyle w:val="a3"/>
            <w:lang w:val="en-US"/>
          </w:rPr>
          <w:t>minfin</w:t>
        </w:r>
        <w:proofErr w:type="spellEnd"/>
        <w:r w:rsidR="00BC6B96" w:rsidRPr="00C91C33">
          <w:rPr>
            <w:rStyle w:val="a3"/>
          </w:rPr>
          <w:t>-</w:t>
        </w:r>
        <w:proofErr w:type="spellStart"/>
        <w:r w:rsidR="00BC6B96" w:rsidRPr="00C91C33">
          <w:rPr>
            <w:rStyle w:val="a3"/>
            <w:lang w:val="en-US"/>
          </w:rPr>
          <w:t>prodal</w:t>
        </w:r>
        <w:proofErr w:type="spellEnd"/>
        <w:r w:rsidR="00BC6B96" w:rsidRPr="00C91C33">
          <w:rPr>
            <w:rStyle w:val="a3"/>
          </w:rPr>
          <w:t>-</w:t>
        </w:r>
        <w:proofErr w:type="spellStart"/>
        <w:r w:rsidR="00BC6B96" w:rsidRPr="00C91C33">
          <w:rPr>
            <w:rStyle w:val="a3"/>
            <w:lang w:val="en-US"/>
          </w:rPr>
          <w:t>yuanei</w:t>
        </w:r>
        <w:proofErr w:type="spellEnd"/>
        <w:r w:rsidR="00BC6B96" w:rsidRPr="00C91C33">
          <w:rPr>
            <w:rStyle w:val="a3"/>
          </w:rPr>
          <w:t>?</w:t>
        </w:r>
        <w:r w:rsidR="00BC6B96" w:rsidRPr="00C91C33">
          <w:rPr>
            <w:rStyle w:val="a3"/>
            <w:lang w:val="en-US"/>
          </w:rPr>
          <w:t>from</w:t>
        </w:r>
        <w:r w:rsidR="00BC6B96" w:rsidRPr="00C91C33">
          <w:rPr>
            <w:rStyle w:val="a3"/>
          </w:rPr>
          <w:t>=</w:t>
        </w:r>
        <w:proofErr w:type="spellStart"/>
        <w:r w:rsidR="00BC6B96" w:rsidRPr="00C91C33">
          <w:rPr>
            <w:rStyle w:val="a3"/>
            <w:lang w:val="en-US"/>
          </w:rPr>
          <w:t>newsline</w:t>
        </w:r>
        <w:proofErr w:type="spellEnd"/>
      </w:hyperlink>
      <w:r w:rsidR="00BC6B96" w:rsidRPr="00AF416F">
        <w:t xml:space="preserve"> </w:t>
      </w:r>
    </w:p>
    <w:p w14:paraId="67DE0CC5" w14:textId="2D14D710" w:rsidR="00B31246" w:rsidRPr="00BC6B96" w:rsidRDefault="00B31246" w:rsidP="00B31246">
      <w:pPr>
        <w:pStyle w:val="2"/>
      </w:pPr>
      <w:bookmarkStart w:id="125" w:name="_Toc223591164"/>
      <w:r w:rsidRPr="002F64E6">
        <w:lastRenderedPageBreak/>
        <w:t>Говорит Москва, 04.03.2026, Экономист посоветовал россиянам с капиталом 10-15 тыс. рублей вкладываться в ОФЗ</w:t>
      </w:r>
      <w:bookmarkEnd w:id="125"/>
    </w:p>
    <w:p w14:paraId="4C9CC286" w14:textId="0F66AAA4" w:rsidR="00B31246" w:rsidRPr="002F64E6" w:rsidRDefault="00B31246" w:rsidP="003F5B32">
      <w:pPr>
        <w:pStyle w:val="3"/>
      </w:pPr>
      <w:bookmarkStart w:id="126" w:name="_Toc223591165"/>
      <w:r w:rsidRPr="002F64E6">
        <w:t xml:space="preserve">Облигации федерального займа </w:t>
      </w:r>
      <w:r w:rsidR="00E77AB9">
        <w:t>«</w:t>
      </w:r>
      <w:r w:rsidRPr="002F64E6">
        <w:t>надёжнее</w:t>
      </w:r>
      <w:r w:rsidR="00E77AB9">
        <w:t>»</w:t>
      </w:r>
      <w:r w:rsidRPr="002F64E6">
        <w:t xml:space="preserve">, чем доходы по банковским депозитам. Это связано с тем, что государство </w:t>
      </w:r>
      <w:r w:rsidR="00E77AB9">
        <w:t>«</w:t>
      </w:r>
      <w:r w:rsidRPr="002F64E6">
        <w:t>всеми ресурсами</w:t>
      </w:r>
      <w:r w:rsidR="00E77AB9">
        <w:t>»</w:t>
      </w:r>
      <w:r w:rsidRPr="002F64E6">
        <w:t xml:space="preserve"> несёт ответственность по своим ценным бумагам перед инвесторами. Такое мнение в эфире радиостанции </w:t>
      </w:r>
      <w:r w:rsidR="00E77AB9">
        <w:t>«</w:t>
      </w:r>
      <w:r w:rsidRPr="002F64E6">
        <w:t>Говорит Москва</w:t>
      </w:r>
      <w:r w:rsidR="00E77AB9">
        <w:t>»</w:t>
      </w:r>
      <w:r w:rsidRPr="002F64E6">
        <w:t xml:space="preserve"> выразил профессор факультета экономических наук НИУ ВШЭ Николай </w:t>
      </w:r>
      <w:proofErr w:type="spellStart"/>
      <w:r w:rsidRPr="002F64E6">
        <w:t>Берзон</w:t>
      </w:r>
      <w:proofErr w:type="spellEnd"/>
      <w:r w:rsidRPr="002F64E6">
        <w:t>.</w:t>
      </w:r>
      <w:bookmarkEnd w:id="126"/>
    </w:p>
    <w:p w14:paraId="34DF6A2B" w14:textId="3891D7A6" w:rsidR="00B31246" w:rsidRPr="002F64E6" w:rsidRDefault="00E77AB9" w:rsidP="00B31246">
      <w:r>
        <w:t>«</w:t>
      </w:r>
      <w:r w:rsidR="00B31246" w:rsidRPr="002F64E6">
        <w:t>Есть государственные облигации - это хорошо всем известные облигации федерального займа. Их достаточно много разновидностей: облигации с постоянным купоном, с плавающим купоном и так далее. Обязательства по этим облигациям лежат на государстве. Облигация - это долговая ценная бумага. Минфин от лица государства выпускает облигации, продаёт их на рынке. Государство всеми своими ресурсами отвечает по этим облигациям. Поэтому надёжность ОФЗ даже выше, чем доходность по банковским депозитам. Человек, если он обладает каким-нибудь капиталом, хотя бы 10-15 тысяч - есть смысл вкладываться.</w:t>
      </w:r>
    </w:p>
    <w:p w14:paraId="79F8C524" w14:textId="0DFF1C61" w:rsidR="00B31246" w:rsidRPr="002F64E6" w:rsidRDefault="00B31246" w:rsidP="00B31246">
      <w:r w:rsidRPr="002F64E6">
        <w:t xml:space="preserve">Номинал облигаций ОФЗ и многих наших компаний стандартный - тысяча рублей. Когда человек будет покупать эти облигации, он должен рассчитывать на то, что у него </w:t>
      </w:r>
      <w:proofErr w:type="gramStart"/>
      <w:r w:rsidRPr="002F64E6">
        <w:t>должно быть</w:t>
      </w:r>
      <w:proofErr w:type="gramEnd"/>
      <w:r w:rsidRPr="002F64E6">
        <w:t xml:space="preserve"> как минимум 1-1,5 тысячи. Потому что человек покупает не в момент выпуска облигаций, а эти облигации уже выпущены, они уже торгуются на рынке. И каждый день на эту облигацию капает какой-то купонный доход</w:t>
      </w:r>
      <w:r w:rsidR="00E77AB9">
        <w:t>»</w:t>
      </w:r>
      <w:r w:rsidRPr="002F64E6">
        <w:t>.</w:t>
      </w:r>
    </w:p>
    <w:p w14:paraId="57AFE7E5" w14:textId="32647892" w:rsidR="00B31246" w:rsidRPr="002F64E6" w:rsidRDefault="00B31246" w:rsidP="00B31246">
      <w:r w:rsidRPr="002F64E6">
        <w:t xml:space="preserve">Ранее Антон </w:t>
      </w:r>
      <w:proofErr w:type="spellStart"/>
      <w:r w:rsidRPr="002F64E6">
        <w:t>Силуанов</w:t>
      </w:r>
      <w:proofErr w:type="spellEnd"/>
      <w:r w:rsidRPr="002F64E6">
        <w:t xml:space="preserve"> назвал объём привлечённых средств в программу долгосрочных сбережений. За два года поступило около 800 миллиардов рублей, уточнил министр финансов. </w:t>
      </w:r>
      <w:r w:rsidR="00E77AB9">
        <w:t>«</w:t>
      </w:r>
      <w:r w:rsidRPr="002F64E6">
        <w:t>Видим, что программа получила своё развитие. Будем дальше её развивать</w:t>
      </w:r>
      <w:r w:rsidR="00E77AB9">
        <w:t>»</w:t>
      </w:r>
      <w:r w:rsidRPr="002F64E6">
        <w:t xml:space="preserve">, - сказал он в интервью </w:t>
      </w:r>
      <w:r w:rsidR="00E77AB9">
        <w:t>«</w:t>
      </w:r>
      <w:r w:rsidRPr="002F64E6">
        <w:t>Вестям</w:t>
      </w:r>
      <w:r w:rsidR="00E77AB9">
        <w:t>»</w:t>
      </w:r>
      <w:r w:rsidRPr="002F64E6">
        <w:t>.</w:t>
      </w:r>
    </w:p>
    <w:p w14:paraId="126012BD" w14:textId="77777777" w:rsidR="00B31246" w:rsidRPr="002F64E6" w:rsidRDefault="00B31246" w:rsidP="00B31246">
      <w:r w:rsidRPr="002F64E6">
        <w:t>Программа долгосрочных сбережений действует с 1 января 2024 года.</w:t>
      </w:r>
    </w:p>
    <w:p w14:paraId="3BA2993B" w14:textId="212BBFA6" w:rsidR="00B31246" w:rsidRPr="002F64E6" w:rsidRDefault="000D71EB" w:rsidP="00B31246">
      <w:hyperlink r:id="rId40" w:history="1">
        <w:r w:rsidR="00B31246" w:rsidRPr="002F64E6">
          <w:rPr>
            <w:rStyle w:val="a3"/>
          </w:rPr>
          <w:t>https://govoritmoskva.ru/news/484347/</w:t>
        </w:r>
      </w:hyperlink>
      <w:r w:rsidR="00B31246" w:rsidRPr="002F64E6">
        <w:t xml:space="preserve"> </w:t>
      </w:r>
    </w:p>
    <w:p w14:paraId="32A53242" w14:textId="77777777" w:rsidR="00A22141" w:rsidRPr="002F64E6" w:rsidRDefault="00A22141" w:rsidP="00A22141">
      <w:pPr>
        <w:pStyle w:val="2"/>
      </w:pPr>
      <w:bookmarkStart w:id="127" w:name="_Toc223591166"/>
      <w:bookmarkStart w:id="128" w:name="_Toc99271711"/>
      <w:bookmarkStart w:id="129" w:name="_Toc99318657"/>
      <w:r w:rsidRPr="002F64E6">
        <w:t>Монокль, 03.03.2026, Три стратегии в облигациях на 2026-й</w:t>
      </w:r>
      <w:bookmarkEnd w:id="127"/>
    </w:p>
    <w:p w14:paraId="0685EAAB" w14:textId="13C4774E" w:rsidR="00A22141" w:rsidRPr="002F64E6" w:rsidRDefault="00A22141" w:rsidP="003F5B32">
      <w:pPr>
        <w:pStyle w:val="3"/>
      </w:pPr>
      <w:bookmarkStart w:id="130" w:name="_Toc223591167"/>
      <w:r w:rsidRPr="002F64E6">
        <w:t xml:space="preserve">Покупка ОФЗ, покупка качественных корпоративных облигаций и покупка </w:t>
      </w:r>
      <w:proofErr w:type="spellStart"/>
      <w:r w:rsidRPr="002F64E6">
        <w:t>секьюритизированных</w:t>
      </w:r>
      <w:proofErr w:type="spellEnd"/>
      <w:r w:rsidRPr="002F64E6">
        <w:t xml:space="preserve"> бумаг — три основных стратегии, из которых частные инвесторы будут выбирать в этом году. Такой вывод можно сделать из услышанного на прошедшей в последний день февраля конференции </w:t>
      </w:r>
      <w:proofErr w:type="spellStart"/>
      <w:r w:rsidRPr="002F64E6">
        <w:t>Cbonds&amp;Smart-Lab</w:t>
      </w:r>
      <w:proofErr w:type="spellEnd"/>
      <w:r w:rsidRPr="002F64E6">
        <w:t xml:space="preserve"> PRO облигации.</w:t>
      </w:r>
      <w:bookmarkEnd w:id="130"/>
    </w:p>
    <w:p w14:paraId="5A8849AF" w14:textId="77777777" w:rsidR="00A22141" w:rsidRPr="002F64E6" w:rsidRDefault="00A22141" w:rsidP="00A22141">
      <w:r w:rsidRPr="002F64E6">
        <w:t>ОФЗ — самая простая и спокойная история. Ключевая ставка продолжит снижаться, Минфин продолжит активно занимать, а если война в Иране долго не продлится и нефть вернется к низким ценам, то правительство пересмотрит бюджетное правило, что при сохранении в прежнем объеме бюджетных расходов приведет к росту госдолга.</w:t>
      </w:r>
    </w:p>
    <w:p w14:paraId="397F94D1" w14:textId="77777777" w:rsidR="00A22141" w:rsidRPr="002F64E6" w:rsidRDefault="00A22141" w:rsidP="00A22141">
      <w:r w:rsidRPr="002F64E6">
        <w:t>Основная стратегия тут — покупать те выпуски с фиксированным купоном, которые размещает Минфин. Дополнительная стратегия — обратить внимание на инфляционные линкеры, но это для тех, кто не верит, что ЦБ удастся обуздать инфляцию.</w:t>
      </w:r>
    </w:p>
    <w:p w14:paraId="6E7CF263" w14:textId="50825951" w:rsidR="00A22141" w:rsidRPr="002F64E6" w:rsidRDefault="00A22141" w:rsidP="00A22141">
      <w:r w:rsidRPr="002F64E6">
        <w:lastRenderedPageBreak/>
        <w:t xml:space="preserve">Следующий подход — покупка корпоративных облигаций. Некоторые управляющие верят, что на них заработать можно будет больше, чем на ОФЗ, так, член совета директоров </w:t>
      </w:r>
      <w:r w:rsidR="00E77AB9">
        <w:t>«</w:t>
      </w:r>
      <w:r w:rsidRPr="002F64E6">
        <w:t>Астра Управление активами</w:t>
      </w:r>
      <w:r w:rsidR="00E77AB9">
        <w:t>»</w:t>
      </w:r>
      <w:r w:rsidRPr="002F64E6">
        <w:t xml:space="preserve"> Дмитрий Борисов считает, что сужение спредов (разницы в доходностях, при сужении цена облигаций растет — прим. </w:t>
      </w:r>
      <w:r w:rsidR="00E77AB9">
        <w:t>«</w:t>
      </w:r>
      <w:r w:rsidRPr="002F64E6">
        <w:t>Монокля</w:t>
      </w:r>
      <w:r w:rsidR="00E77AB9">
        <w:t>»</w:t>
      </w:r>
      <w:r w:rsidRPr="002F64E6">
        <w:t>) в корпоративных бумагах может принести сопоставимый или больший доход, чем доход от ОФЗ.</w:t>
      </w:r>
    </w:p>
    <w:p w14:paraId="4A6B9F59" w14:textId="4133C170" w:rsidR="00A22141" w:rsidRPr="002F64E6" w:rsidRDefault="00A22141" w:rsidP="00A22141">
      <w:r w:rsidRPr="002F64E6">
        <w:t xml:space="preserve">Но так считают не все: во-первых, в корпоративных выпусках становится все страшнее — целые отрасли чувствуют себя все хуже, дефолты могут случаться даже в так называемом </w:t>
      </w:r>
      <w:proofErr w:type="spellStart"/>
      <w:r w:rsidRPr="002F64E6">
        <w:t>инвестгрейде</w:t>
      </w:r>
      <w:proofErr w:type="spellEnd"/>
      <w:r w:rsidRPr="002F64E6">
        <w:t xml:space="preserve"> (бумагах с рейтингом </w:t>
      </w:r>
      <w:proofErr w:type="gramStart"/>
      <w:r w:rsidRPr="002F64E6">
        <w:t>А- и</w:t>
      </w:r>
      <w:proofErr w:type="gramEnd"/>
      <w:r w:rsidRPr="002F64E6">
        <w:t xml:space="preserve"> выше — прим </w:t>
      </w:r>
      <w:r w:rsidR="00E77AB9">
        <w:t>«</w:t>
      </w:r>
      <w:r w:rsidRPr="002F64E6">
        <w:t>Монокля</w:t>
      </w:r>
      <w:r w:rsidR="00E77AB9">
        <w:t>»</w:t>
      </w:r>
      <w:r w:rsidRPr="002F64E6">
        <w:t xml:space="preserve">), а рейтинги больше не отражают реальное положение дел. Во-вторых, банки будут все чаще выводить своих клиентов на долговой рынок: начальник отдела публичного анализа облигаций </w:t>
      </w:r>
      <w:proofErr w:type="spellStart"/>
      <w:r w:rsidRPr="002F64E6">
        <w:t>Совкомбанка</w:t>
      </w:r>
      <w:proofErr w:type="spellEnd"/>
      <w:r w:rsidRPr="002F64E6">
        <w:t xml:space="preserve"> Арсений Автухов считает, что сдвиг от кредитов к облигациям со стороны компаний будет продолжаться. Напомним, именно этот сдвиг обеспечил отличные результаты первичному рынку в прошлом году даже при очень высоких ставках. При прочих равных это означает большую конкуренцию корпораций за инвестора — как друг с другом, так и с незыблемыми в своей надежности ОФЗ. Но самому инвестору эта конкуренция особо привлекательных моментов не сулит. Наконец, надо хорошо разбираться в нюансах: так, на рынке сильный дефицит выпусков длиной свыше трех лет, такие бумаги есть буквально у пары эмитентов. И большой вопрос, насколько их спреды привлекательны, предупреждает Автухов.</w:t>
      </w:r>
    </w:p>
    <w:p w14:paraId="1DCCFC04" w14:textId="77777777" w:rsidR="00A22141" w:rsidRPr="002F64E6" w:rsidRDefault="00A22141" w:rsidP="00A22141">
      <w:r w:rsidRPr="002F64E6">
        <w:t xml:space="preserve">Третий и неочевидный вариант — покупка </w:t>
      </w:r>
      <w:proofErr w:type="spellStart"/>
      <w:r w:rsidRPr="002F64E6">
        <w:t>секьюритизированных</w:t>
      </w:r>
      <w:proofErr w:type="spellEnd"/>
      <w:r w:rsidRPr="002F64E6">
        <w:t xml:space="preserve"> облигаций. Напомним, в </w:t>
      </w:r>
      <w:proofErr w:type="spellStart"/>
      <w:r w:rsidRPr="002F64E6">
        <w:t>секьюритизированные</w:t>
      </w:r>
      <w:proofErr w:type="spellEnd"/>
      <w:r w:rsidRPr="002F64E6">
        <w:t xml:space="preserve"> бумаги упаковываются портфели кредитов — ипотечных, потребительских и т.д. Выплаты по кредитам и обеспечивают денежный поток по таким бумагам.</w:t>
      </w:r>
    </w:p>
    <w:p w14:paraId="5BECE165" w14:textId="02AEE386" w:rsidR="00A22141" w:rsidRPr="002F64E6" w:rsidRDefault="00E77AB9" w:rsidP="00A22141">
      <w:r>
        <w:t>«</w:t>
      </w:r>
      <w:r w:rsidR="00A22141" w:rsidRPr="002F64E6">
        <w:t xml:space="preserve">Весь первый эшелон я меняю на </w:t>
      </w:r>
      <w:proofErr w:type="spellStart"/>
      <w:r w:rsidR="00A22141" w:rsidRPr="002F64E6">
        <w:t>секьюритизацию</w:t>
      </w:r>
      <w:proofErr w:type="spellEnd"/>
      <w:r w:rsidR="00A22141" w:rsidRPr="002F64E6">
        <w:t xml:space="preserve"> </w:t>
      </w:r>
      <w:proofErr w:type="spellStart"/>
      <w:r w:rsidR="00A22141" w:rsidRPr="002F64E6">
        <w:t>потребкредитов</w:t>
      </w:r>
      <w:proofErr w:type="spellEnd"/>
      <w:r>
        <w:t>»</w:t>
      </w:r>
      <w:r w:rsidR="00A22141" w:rsidRPr="002F64E6">
        <w:t xml:space="preserve">, — рассказал Иван Белов, руководитель департамента управления активами и </w:t>
      </w:r>
      <w:proofErr w:type="spellStart"/>
      <w:r w:rsidR="00A22141" w:rsidRPr="002F64E6">
        <w:t>сооснователь</w:t>
      </w:r>
      <w:proofErr w:type="spellEnd"/>
      <w:r w:rsidR="00A22141" w:rsidRPr="002F64E6">
        <w:t xml:space="preserve"> УК </w:t>
      </w:r>
      <w:r>
        <w:t>«</w:t>
      </w:r>
      <w:r w:rsidR="00A22141" w:rsidRPr="002F64E6">
        <w:t>ГЕРОИ</w:t>
      </w:r>
      <w:r>
        <w:t>»</w:t>
      </w:r>
      <w:r w:rsidR="00A22141" w:rsidRPr="002F64E6">
        <w:t xml:space="preserve">. По его словам, у таких выпусков заметная премия к корпоративным облигациям с рейтингом ААА, и все потому, что у многих банков сейчас проблемы с капиталом, и они распродают портфели </w:t>
      </w:r>
      <w:proofErr w:type="spellStart"/>
      <w:r w:rsidR="00A22141" w:rsidRPr="002F64E6">
        <w:t>потребкредитов</w:t>
      </w:r>
      <w:proofErr w:type="spellEnd"/>
      <w:r w:rsidR="00A22141" w:rsidRPr="002F64E6">
        <w:t xml:space="preserve">, в том числе через </w:t>
      </w:r>
      <w:proofErr w:type="spellStart"/>
      <w:r w:rsidR="00A22141" w:rsidRPr="002F64E6">
        <w:t>секьюритизацию</w:t>
      </w:r>
      <w:proofErr w:type="spellEnd"/>
      <w:r w:rsidR="00A22141" w:rsidRPr="002F64E6">
        <w:t xml:space="preserve">. </w:t>
      </w:r>
    </w:p>
    <w:p w14:paraId="298FC585" w14:textId="69E9F07C" w:rsidR="00A22141" w:rsidRPr="002F64E6" w:rsidRDefault="00A22141" w:rsidP="00A22141">
      <w:r w:rsidRPr="002F64E6">
        <w:t xml:space="preserve">Что же касается столь любимых физиками высокодоходных облигаций, эта тема все еще будоражит умы, хотя любители </w:t>
      </w:r>
      <w:r w:rsidR="00E77AB9">
        <w:t>«</w:t>
      </w:r>
      <w:r w:rsidRPr="002F64E6">
        <w:t>мусорных</w:t>
      </w:r>
      <w:r w:rsidR="00E77AB9">
        <w:t>»</w:t>
      </w:r>
      <w:r w:rsidRPr="002F64E6">
        <w:t xml:space="preserve"> бумаг после недавних дефолтов сильно </w:t>
      </w:r>
      <w:proofErr w:type="spellStart"/>
      <w:r w:rsidRPr="002F64E6">
        <w:t>подостыли</w:t>
      </w:r>
      <w:proofErr w:type="spellEnd"/>
      <w:r w:rsidRPr="002F64E6">
        <w:t xml:space="preserve">.  </w:t>
      </w:r>
      <w:proofErr w:type="gramStart"/>
      <w:r w:rsidR="00E77AB9">
        <w:t>«</w:t>
      </w:r>
      <w:r w:rsidRPr="002F64E6">
        <w:t>ВДО будут умирать, и не надо иметь иллюзий</w:t>
      </w:r>
      <w:proofErr w:type="gramEnd"/>
      <w:r w:rsidRPr="002F64E6">
        <w:t xml:space="preserve">, — говорит член Совета Ассоциации инвесторов АВО Александр Рыбин. — В то же время </w:t>
      </w:r>
      <w:r w:rsidR="00E77AB9">
        <w:t>«</w:t>
      </w:r>
      <w:r w:rsidRPr="002F64E6">
        <w:t>альфа</w:t>
      </w:r>
      <w:r w:rsidR="00E77AB9">
        <w:t>»</w:t>
      </w:r>
      <w:r w:rsidRPr="002F64E6">
        <w:t xml:space="preserve"> на рынке просто так не зарабатывается, и нужно думать, что покупаешь</w:t>
      </w:r>
      <w:r w:rsidR="00E77AB9">
        <w:t>»</w:t>
      </w:r>
      <w:r w:rsidRPr="002F64E6">
        <w:t>.</w:t>
      </w:r>
    </w:p>
    <w:p w14:paraId="0B995364" w14:textId="74F767F6" w:rsidR="00A22141" w:rsidRPr="002F64E6" w:rsidRDefault="00A22141" w:rsidP="00A22141">
      <w:r w:rsidRPr="002F64E6">
        <w:t xml:space="preserve">Единого подхода к ВДО нет — многие опытные игроки по-прежнему призывают частных инвесторов даже не касаться этих облигаций. Другие, такие же опытные, делают ставку на очень большую диверсификацию </w:t>
      </w:r>
      <w:r w:rsidR="00E77AB9">
        <w:t>«</w:t>
      </w:r>
      <w:r w:rsidRPr="002F64E6">
        <w:t>мусорного</w:t>
      </w:r>
      <w:r w:rsidR="00E77AB9">
        <w:t>»</w:t>
      </w:r>
      <w:r w:rsidRPr="002F64E6">
        <w:t xml:space="preserve"> портфеля (не более 5% на одну бумагу) и тщательный мониторинг всего, что происходит с эмитентами, так как проблемы того же </w:t>
      </w:r>
      <w:r w:rsidR="00E77AB9">
        <w:t>«</w:t>
      </w:r>
      <w:r w:rsidRPr="002F64E6">
        <w:t>Гарант-Инвеста</w:t>
      </w:r>
      <w:r w:rsidR="00E77AB9">
        <w:t>»</w:t>
      </w:r>
      <w:r w:rsidRPr="002F64E6">
        <w:t xml:space="preserve"> можно было заметить заранее по отчетности и эвакуироваться.</w:t>
      </w:r>
    </w:p>
    <w:p w14:paraId="35E6AE2E" w14:textId="59634703" w:rsidR="00111D7C" w:rsidRPr="002F64E6" w:rsidRDefault="000D71EB" w:rsidP="00A22141">
      <w:hyperlink r:id="rId41" w:history="1">
        <w:r w:rsidR="00A22141" w:rsidRPr="002F64E6">
          <w:rPr>
            <w:rStyle w:val="a3"/>
          </w:rPr>
          <w:t>https://monocle.ru/2026/03/4/fondoviy-rynok-segodnya/</w:t>
        </w:r>
      </w:hyperlink>
    </w:p>
    <w:p w14:paraId="39D96538" w14:textId="77777777" w:rsidR="005F3F9A" w:rsidRPr="002F64E6" w:rsidRDefault="005F3F9A" w:rsidP="005F3F9A">
      <w:pPr>
        <w:pStyle w:val="2"/>
      </w:pPr>
      <w:bookmarkStart w:id="131" w:name="_Toc223591168"/>
      <w:r w:rsidRPr="002F64E6">
        <w:lastRenderedPageBreak/>
        <w:t>РБК, 04.03.2026, Классы инвестиционных паев: как меняется структура ЗПИФ в марте 2026</w:t>
      </w:r>
      <w:bookmarkEnd w:id="131"/>
    </w:p>
    <w:p w14:paraId="640CE07F" w14:textId="77777777" w:rsidR="005F3F9A" w:rsidRPr="002F64E6" w:rsidRDefault="005F3F9A" w:rsidP="003F5B32">
      <w:pPr>
        <w:pStyle w:val="3"/>
      </w:pPr>
      <w:bookmarkStart w:id="132" w:name="_Toc223591169"/>
      <w:r w:rsidRPr="002F64E6">
        <w:t>Регулирование ЗПИФ меняется: управляющие компании могут по-новому оформлять участие инвесторов через несколько классов паев.</w:t>
      </w:r>
      <w:bookmarkEnd w:id="132"/>
    </w:p>
    <w:p w14:paraId="5D0D4918" w14:textId="353E3A39" w:rsidR="005F3F9A" w:rsidRPr="002F64E6" w:rsidRDefault="005F3F9A" w:rsidP="005F3F9A">
      <w:r w:rsidRPr="002F64E6">
        <w:t xml:space="preserve">С 1 марта 2026 года вступили в силу существенные изменения в регулировании закрытых паевых инвестиционных фондов (ЗПИФ), паи которых предназначены для квалифицированных инвесторов. Одно из главных нововведений - возможность устанавливать разные классы инвестиционных паев внутри одного фонда. О том, как изменения структуры ЗПИФ повлияют на рынок инвестиций, рассказывает Никита Мосиенко, генеральный директор ООО УК </w:t>
      </w:r>
      <w:r w:rsidR="00E77AB9">
        <w:t>«</w:t>
      </w:r>
      <w:proofErr w:type="spellStart"/>
      <w:r w:rsidRPr="002F64E6">
        <w:t>Бореа</w:t>
      </w:r>
      <w:proofErr w:type="spellEnd"/>
      <w:r w:rsidRPr="002F64E6">
        <w:t xml:space="preserve"> групп</w:t>
      </w:r>
      <w:r w:rsidR="00E77AB9">
        <w:t>»</w:t>
      </w:r>
      <w:r w:rsidRPr="002F64E6">
        <w:t>.</w:t>
      </w:r>
    </w:p>
    <w:p w14:paraId="61B9F934" w14:textId="77777777" w:rsidR="005F3F9A" w:rsidRPr="002F64E6" w:rsidRDefault="005F3F9A" w:rsidP="005F3F9A">
      <w:r w:rsidRPr="002F64E6">
        <w:t>Раньше ЗПИФ были юридически однородными: любой инвестор, приобретая пай, получал равный набор прав по сравнению с другими пайщиками. Теперь же управляющая компания может закреплять в правилах доверительного управления несколько классов паев с разными правами. Это позволит расширить инвестиционные возможности.</w:t>
      </w:r>
    </w:p>
    <w:p w14:paraId="369A37C7" w14:textId="77777777" w:rsidR="005F3F9A" w:rsidRPr="002F64E6" w:rsidRDefault="005F3F9A" w:rsidP="005F3F9A">
      <w:r w:rsidRPr="002F64E6">
        <w:t>Классы паев</w:t>
      </w:r>
    </w:p>
    <w:p w14:paraId="555A98BF" w14:textId="77777777" w:rsidR="005F3F9A" w:rsidRPr="002F64E6" w:rsidRDefault="005F3F9A" w:rsidP="005F3F9A">
      <w:r w:rsidRPr="002F64E6">
        <w:t>Класс паев - это заранее определенный набор прав, который получает инвестор. При этом базовые гарантии сохраняются для всех: независимо от класса пайщик имеет право требовать надлежащего управления фондом и рассчитывать на компенсацию или выделенную долю имущества при погашении в предусмотренных законом случаях.</w:t>
      </w:r>
    </w:p>
    <w:p w14:paraId="0FA2ADDB" w14:textId="77777777" w:rsidR="005F3F9A" w:rsidRPr="002F64E6" w:rsidRDefault="005F3F9A" w:rsidP="005F3F9A">
      <w:r w:rsidRPr="002F64E6">
        <w:t>Различия между классами могут касаться:</w:t>
      </w:r>
    </w:p>
    <w:p w14:paraId="6EF4758F" w14:textId="77777777" w:rsidR="005F3F9A" w:rsidRPr="002F64E6" w:rsidRDefault="005F3F9A" w:rsidP="005F3F9A">
      <w:r w:rsidRPr="002F64E6">
        <w:t>•</w:t>
      </w:r>
      <w:r w:rsidRPr="002F64E6">
        <w:tab/>
        <w:t>порядка получения дохода (сроки, периодичность, размер);</w:t>
      </w:r>
    </w:p>
    <w:p w14:paraId="334EE856" w14:textId="77777777" w:rsidR="005F3F9A" w:rsidRPr="002F64E6" w:rsidRDefault="005F3F9A" w:rsidP="005F3F9A">
      <w:r w:rsidRPr="002F64E6">
        <w:t>•</w:t>
      </w:r>
      <w:r w:rsidRPr="002F64E6">
        <w:tab/>
        <w:t>права голоса на общем собрании пайщиков;</w:t>
      </w:r>
    </w:p>
    <w:p w14:paraId="7533E89B" w14:textId="77777777" w:rsidR="005F3F9A" w:rsidRPr="002F64E6" w:rsidRDefault="005F3F9A" w:rsidP="005F3F9A">
      <w:r w:rsidRPr="002F64E6">
        <w:t>•</w:t>
      </w:r>
      <w:r w:rsidRPr="002F64E6">
        <w:tab/>
        <w:t>преимущественных прав на приобретение дополнительных паев;</w:t>
      </w:r>
    </w:p>
    <w:p w14:paraId="636F7971" w14:textId="77777777" w:rsidR="005F3F9A" w:rsidRPr="002F64E6" w:rsidRDefault="005F3F9A" w:rsidP="005F3F9A">
      <w:r w:rsidRPr="002F64E6">
        <w:t>•</w:t>
      </w:r>
      <w:r w:rsidRPr="002F64E6">
        <w:tab/>
        <w:t>возможности требовать погашения паев при изменении правил фонда.</w:t>
      </w:r>
    </w:p>
    <w:p w14:paraId="4692DD0F" w14:textId="77777777" w:rsidR="005F3F9A" w:rsidRPr="002F64E6" w:rsidRDefault="005F3F9A" w:rsidP="005F3F9A">
      <w:r w:rsidRPr="002F64E6">
        <w:t xml:space="preserve">Таким образом, внутри одного фонда появляется возможность разделять инвесторов по ролям: управляющие участники могут принимать ключевые решения, а пассивные инвесторы - получать финансовый результат, не влияя на </w:t>
      </w:r>
      <w:proofErr w:type="spellStart"/>
      <w:r w:rsidRPr="002F64E6">
        <w:t>операци</w:t>
      </w:r>
      <w:proofErr w:type="spellEnd"/>
      <w:r w:rsidRPr="002F64E6">
        <w:t xml:space="preserve"> </w:t>
      </w:r>
      <w:proofErr w:type="spellStart"/>
      <w:r w:rsidRPr="002F64E6">
        <w:t>онную</w:t>
      </w:r>
      <w:proofErr w:type="spellEnd"/>
      <w:r w:rsidRPr="002F64E6">
        <w:t xml:space="preserve"> деятельность проекта.</w:t>
      </w:r>
    </w:p>
    <w:p w14:paraId="0B376FB4" w14:textId="11ABA7D1" w:rsidR="005F3F9A" w:rsidRPr="002F64E6" w:rsidRDefault="005F3F9A" w:rsidP="005F3F9A">
      <w:r w:rsidRPr="002F64E6">
        <w:t xml:space="preserve">Разделение на </w:t>
      </w:r>
      <w:r w:rsidR="00E77AB9">
        <w:t>«</w:t>
      </w:r>
      <w:r w:rsidRPr="002F64E6">
        <w:t>голосующие</w:t>
      </w:r>
      <w:r w:rsidR="00E77AB9">
        <w:t>»</w:t>
      </w:r>
      <w:r w:rsidRPr="002F64E6">
        <w:t xml:space="preserve"> и </w:t>
      </w:r>
      <w:r w:rsidR="00E77AB9">
        <w:t>«</w:t>
      </w:r>
      <w:proofErr w:type="spellStart"/>
      <w:r w:rsidRPr="002F64E6">
        <w:t>неголосующие</w:t>
      </w:r>
      <w:proofErr w:type="spellEnd"/>
      <w:r w:rsidR="00E77AB9">
        <w:t>»</w:t>
      </w:r>
      <w:r w:rsidRPr="002F64E6">
        <w:t xml:space="preserve"> паи позволяет привлекать капитал инвесторов, которым важна доходность, но не требуется участие в управлении проектом. При этом нововведения позволяют сохраняет баланс: как минимум один класс паев должен обладать полным правом голоса по всем вопросам компетенции общего собрания.</w:t>
      </w:r>
    </w:p>
    <w:p w14:paraId="68C50B67" w14:textId="77777777" w:rsidR="005F3F9A" w:rsidRPr="002F64E6" w:rsidRDefault="005F3F9A" w:rsidP="005F3F9A">
      <w:r w:rsidRPr="002F64E6">
        <w:t>Где может быть полезен новый механизм</w:t>
      </w:r>
    </w:p>
    <w:p w14:paraId="6A536567" w14:textId="2A61C908" w:rsidR="005F3F9A" w:rsidRPr="002F64E6" w:rsidRDefault="005F3F9A" w:rsidP="005F3F9A">
      <w:r w:rsidRPr="002F64E6">
        <w:t xml:space="preserve">Новые классы паев открывают широкий спектр возможностей для инвесторов. Например, классы можно использовать в венчурном бизнесе и технологических проектах. Новый подход поможет расширять число инвесторов, сохраняя стратегический контроль за профессиональной группой. Якорные инвесторы и основатели смогут принимать стратегические решения и одобрять сделки. Инвесторы с </w:t>
      </w:r>
      <w:r w:rsidR="00E77AB9">
        <w:t>«</w:t>
      </w:r>
      <w:r w:rsidRPr="002F64E6">
        <w:t>паями без голоса</w:t>
      </w:r>
      <w:r w:rsidR="00E77AB9">
        <w:t>»</w:t>
      </w:r>
      <w:r w:rsidRPr="002F64E6">
        <w:t xml:space="preserve"> решений принимать не будут, но также смогут получать доход.</w:t>
      </w:r>
    </w:p>
    <w:p w14:paraId="1C660B58" w14:textId="77777777" w:rsidR="005F3F9A" w:rsidRPr="002F64E6" w:rsidRDefault="005F3F9A" w:rsidP="005F3F9A">
      <w:r w:rsidRPr="002F64E6">
        <w:lastRenderedPageBreak/>
        <w:t>Другой распространенный вариант - мезонинное финансирование. В одном фонде могут существовать два класса:</w:t>
      </w:r>
    </w:p>
    <w:p w14:paraId="11CDEA2A" w14:textId="77777777" w:rsidR="005F3F9A" w:rsidRPr="002F64E6" w:rsidRDefault="005F3F9A" w:rsidP="005F3F9A">
      <w:r w:rsidRPr="002F64E6">
        <w:t>•</w:t>
      </w:r>
      <w:r w:rsidRPr="002F64E6">
        <w:tab/>
        <w:t>приоритетный класс (класс А) с фиксированной доходностью и первоочередными выплатами;</w:t>
      </w:r>
    </w:p>
    <w:p w14:paraId="239D13C4" w14:textId="77777777" w:rsidR="005F3F9A" w:rsidRPr="002F64E6" w:rsidRDefault="005F3F9A" w:rsidP="005F3F9A">
      <w:r w:rsidRPr="002F64E6">
        <w:t>•</w:t>
      </w:r>
      <w:r w:rsidRPr="002F64E6">
        <w:tab/>
        <w:t>обыкновенный транш (класс Б), который получает всю сверхприбыль после расчетов с приоритетными инвесторами.</w:t>
      </w:r>
    </w:p>
    <w:p w14:paraId="5C0C1D1E" w14:textId="77777777" w:rsidR="005F3F9A" w:rsidRPr="002F64E6" w:rsidRDefault="005F3F9A" w:rsidP="005F3F9A">
      <w:r w:rsidRPr="002F64E6">
        <w:t>Классы также позволяют реализовывать многоступенчатые инфраструктурные проекты: одни инвесторы входят на стадии строительства, другие - уже на этапе эксплуатации, когда актив начинает приносить денежный поток.</w:t>
      </w:r>
    </w:p>
    <w:p w14:paraId="57C5FCB6" w14:textId="77777777" w:rsidR="005F3F9A" w:rsidRPr="002F64E6" w:rsidRDefault="005F3F9A" w:rsidP="005F3F9A">
      <w:r w:rsidRPr="002F64E6">
        <w:t>Как вводятся классы в действующем фонде</w:t>
      </w:r>
    </w:p>
    <w:p w14:paraId="617CB2C6" w14:textId="77777777" w:rsidR="005F3F9A" w:rsidRPr="002F64E6" w:rsidRDefault="005F3F9A" w:rsidP="005F3F9A">
      <w:r w:rsidRPr="002F64E6">
        <w:t>Для действующих ЗПИФ предусмотрена процедура конвертации паев в разные классы. Такое решение принимается только единогласно на общем собрании пайщиков. Это означает, что изменение структуры прав возможно лишь при полном согласии инвесторов, что дополнительно защищает участников фонда.</w:t>
      </w:r>
    </w:p>
    <w:p w14:paraId="07E33BE9" w14:textId="77777777" w:rsidR="005F3F9A" w:rsidRPr="002F64E6" w:rsidRDefault="005F3F9A" w:rsidP="005F3F9A">
      <w:r w:rsidRPr="002F64E6">
        <w:t>Перспективы для рынка инвестиций</w:t>
      </w:r>
    </w:p>
    <w:p w14:paraId="337E154A" w14:textId="77777777" w:rsidR="005F3F9A" w:rsidRPr="002F64E6" w:rsidRDefault="005F3F9A" w:rsidP="005F3F9A">
      <w:r w:rsidRPr="002F64E6">
        <w:t>Введение классов инвестиционных паев - одно из наиболее значимых изменений для рынка ЗПИФ за последние годы. Новый механизм делает фонд более гибким инструментом, позволяющим точнее распределять риски, доходность и управленческие полномочия.</w:t>
      </w:r>
    </w:p>
    <w:p w14:paraId="070381D7" w14:textId="77777777" w:rsidR="005F3F9A" w:rsidRPr="002F64E6" w:rsidRDefault="005F3F9A" w:rsidP="005F3F9A">
      <w:r w:rsidRPr="002F64E6">
        <w:t>Уже в 2026 году станет понятно, как теория начнет реализовываться на практике и какие новые проекты получит рынок благодаря измененной структуре паевых фондов.</w:t>
      </w:r>
    </w:p>
    <w:p w14:paraId="2C98D34C" w14:textId="1B531889" w:rsidR="005F3F9A" w:rsidRPr="002F64E6" w:rsidRDefault="005F3F9A" w:rsidP="005F3F9A">
      <w:r w:rsidRPr="002F64E6">
        <w:t xml:space="preserve">Никита Мосиенко, генеральный директор ООО УК </w:t>
      </w:r>
      <w:r w:rsidR="00E77AB9">
        <w:t>«</w:t>
      </w:r>
      <w:proofErr w:type="spellStart"/>
      <w:r w:rsidRPr="002F64E6">
        <w:t>Бореа</w:t>
      </w:r>
      <w:proofErr w:type="spellEnd"/>
      <w:r w:rsidRPr="002F64E6">
        <w:t xml:space="preserve"> групп</w:t>
      </w:r>
      <w:r w:rsidR="00E77AB9">
        <w:t>»</w:t>
      </w:r>
    </w:p>
    <w:p w14:paraId="2DE6E24F" w14:textId="713EDC03" w:rsidR="0052610B" w:rsidRPr="003665FD" w:rsidRDefault="000D71EB" w:rsidP="005F3F9A">
      <w:hyperlink r:id="rId42" w:history="1">
        <w:r w:rsidR="005F3F9A" w:rsidRPr="002F64E6">
          <w:rPr>
            <w:rStyle w:val="a3"/>
          </w:rPr>
          <w:t>https://companies.rbc.ru/news/K816OXnWGH/klassyi-investitsionnyih-paev-kak-menyaetsya-struktura-zpif-v-marte-2026/</w:t>
        </w:r>
      </w:hyperlink>
      <w:r w:rsidR="005F3F9A" w:rsidRPr="002F64E6">
        <w:t xml:space="preserve"> </w:t>
      </w:r>
    </w:p>
    <w:p w14:paraId="14A0C47D" w14:textId="7E0C7029" w:rsidR="00AF416F" w:rsidRPr="00AF416F" w:rsidRDefault="00AF416F" w:rsidP="00AF416F">
      <w:pPr>
        <w:pStyle w:val="2"/>
      </w:pPr>
      <w:bookmarkStart w:id="133" w:name="_Toc223591170"/>
      <w:r w:rsidRPr="00AF416F">
        <w:t>РБК, 04.03.2026, ЦБ описал два сценария влияния корректировки бюджетного правила на ставку</w:t>
      </w:r>
      <w:bookmarkEnd w:id="133"/>
    </w:p>
    <w:p w14:paraId="3E51B658" w14:textId="77777777" w:rsidR="00AF416F" w:rsidRPr="00AF416F" w:rsidRDefault="00AF416F" w:rsidP="00AF416F">
      <w:pPr>
        <w:pStyle w:val="3"/>
      </w:pPr>
      <w:bookmarkStart w:id="134" w:name="_Toc223591171"/>
      <w:r w:rsidRPr="00AF416F">
        <w:t>Банк России заявил, что полностью оценить влияние возможных изменений параметров бюджетного правила на денежно-кредитную политику (ДКП) можно будет только после их официального анонсирования и утверждения. Это следует из поступившегося в РБК комментария Центробанка России.</w:t>
      </w:r>
      <w:bookmarkEnd w:id="134"/>
    </w:p>
    <w:p w14:paraId="5FCD2D5A" w14:textId="77777777" w:rsidR="00AF416F" w:rsidRPr="00AF416F" w:rsidRDefault="00AF416F" w:rsidP="00AF416F">
      <w:r w:rsidRPr="00AF416F">
        <w:t>Реакция регулятора будет зависеть от того, как именно изменятся параметры правила, в частности базовая цена отсечения, и что будет происходить с бюджетными расходами, объяснили в ЦБ. Если снижение базовой цены не сопровождается корректировкой расходов и ведет лишь к росту заимствований, то это потребует более жесткой политики и более медленного снижения ключевой ставки, чтобы сдержать рост кредитования.</w:t>
      </w:r>
    </w:p>
    <w:p w14:paraId="5D51B84D" w14:textId="77777777" w:rsidR="00AF416F" w:rsidRPr="00AF416F" w:rsidRDefault="00AF416F" w:rsidP="00AF416F">
      <w:r w:rsidRPr="00AF416F">
        <w:t xml:space="preserve">Если же снижение цены будет идти вместе с сокращением расходов, это, напротив, повышает долгосрочную устойчивость госфинансов, снижает премию за риск и не требует реакции со стороны ДКП. "Решения по ключевой ставке будут определяться необходимостью обеспечить замедление текущего роста цен к 4% в годовом выражении </w:t>
      </w:r>
      <w:r w:rsidRPr="00AF416F">
        <w:lastRenderedPageBreak/>
        <w:t>во второй половине 2026 года. Обуславливать решения исключительно параметрами бюджетного правила неуместно, но это важная составляющая предпосылок, которая будет детально рассмотрена Советом директоров на очередном заседании по ставке", - подчеркнул представитель ЦБ.</w:t>
      </w:r>
    </w:p>
    <w:p w14:paraId="23183D50" w14:textId="77777777" w:rsidR="00AF416F" w:rsidRPr="00AF416F" w:rsidRDefault="00AF416F" w:rsidP="00AF416F">
      <w:r w:rsidRPr="00AF416F">
        <w:t>Бюджетное правило - это механизм, который перераспределяет доходы от экспорта сырья. Его основная задача - снижение влияния цен на сырье на экономику страны. В России изначально этот механизм был направлен на защиту бюджета от влияния колебаний цен на нефть.</w:t>
      </w:r>
    </w:p>
    <w:p w14:paraId="73F4E9A5" w14:textId="77777777" w:rsidR="00AF416F" w:rsidRPr="00AF67C8" w:rsidRDefault="00AF416F" w:rsidP="00AF416F">
      <w:r w:rsidRPr="00AF416F">
        <w:t xml:space="preserve">При бюджетном правиле власти определяют уровень цен на сырье, на который ориентируются при планировании бюджета. Этот уровень называют ценой отсечения. </w:t>
      </w:r>
      <w:r w:rsidRPr="00AF67C8">
        <w:t>Если стоимость экспортной нефти оказывается выше цены отсечения, то из излишков формируют государственные накопления. Если бюджету в будущем будет не хватать средств от экспорта сырья, то власти будут брать деньги из накоплений.</w:t>
      </w:r>
    </w:p>
    <w:p w14:paraId="26A957FB" w14:textId="15B45901" w:rsidR="00AF416F" w:rsidRPr="00AF67C8" w:rsidRDefault="00AF416F" w:rsidP="00AF416F">
      <w:r w:rsidRPr="00AF67C8">
        <w:t xml:space="preserve">Ближайшее заседание Совета директоров Банка России по ключевой ставке запланировано на 20 марта. В настоящее время ставка составляет 15,5% годовых. Сейчас базовая цена нефти составляет $59 за баррель. Поскольку с начала года цена российской марки </w:t>
      </w:r>
      <w:r w:rsidRPr="00AF416F">
        <w:rPr>
          <w:lang w:val="en-US"/>
        </w:rPr>
        <w:t>Urals</w:t>
      </w:r>
      <w:r w:rsidRPr="00AF67C8">
        <w:t xml:space="preserve"> колеблется около $40, текущие параметры бюджетного правила могут привести к исчерпанию ФНБ. О планах по изменению базовой цены 25 февраля заявил министр финансов Антон </w:t>
      </w:r>
      <w:proofErr w:type="spellStart"/>
      <w:r w:rsidRPr="00AF67C8">
        <w:t>Силуанов</w:t>
      </w:r>
      <w:proofErr w:type="spellEnd"/>
      <w:r w:rsidRPr="00AF67C8">
        <w:t>. Он уточнял, что правительство может ужесточить бюджетное правило, снизив цену отсечения по нефти, и решения могут быть приняты "достаточно быстро". Необходимость такой корректировки министр объяснял двумя факторами: необходимостью обеспечить сохранность средств ФНБ и снижением давления на валютный рынок.</w:t>
      </w:r>
    </w:p>
    <w:p w14:paraId="3E700A57" w14:textId="212C836B" w:rsidR="00AF416F" w:rsidRPr="00AF67C8" w:rsidRDefault="000D71EB" w:rsidP="00AF416F">
      <w:hyperlink r:id="rId43" w:history="1">
        <w:r w:rsidR="00AF416F" w:rsidRPr="00C91C33">
          <w:rPr>
            <w:rStyle w:val="a3"/>
            <w:lang w:val="en-US"/>
          </w:rPr>
          <w:t>https</w:t>
        </w:r>
        <w:r w:rsidR="00AF416F" w:rsidRPr="00AF67C8">
          <w:rPr>
            <w:rStyle w:val="a3"/>
          </w:rPr>
          <w:t>://</w:t>
        </w:r>
        <w:r w:rsidR="00AF416F" w:rsidRPr="00C91C33">
          <w:rPr>
            <w:rStyle w:val="a3"/>
            <w:lang w:val="en-US"/>
          </w:rPr>
          <w:t>www</w:t>
        </w:r>
        <w:r w:rsidR="00AF416F" w:rsidRPr="00AF67C8">
          <w:rPr>
            <w:rStyle w:val="a3"/>
          </w:rPr>
          <w:t>.</w:t>
        </w:r>
        <w:proofErr w:type="spellStart"/>
        <w:r w:rsidR="00AF416F" w:rsidRPr="00C91C33">
          <w:rPr>
            <w:rStyle w:val="a3"/>
            <w:lang w:val="en-US"/>
          </w:rPr>
          <w:t>rbc</w:t>
        </w:r>
        <w:proofErr w:type="spellEnd"/>
        <w:r w:rsidR="00AF416F" w:rsidRPr="00AF67C8">
          <w:rPr>
            <w:rStyle w:val="a3"/>
          </w:rPr>
          <w:t>.</w:t>
        </w:r>
        <w:proofErr w:type="spellStart"/>
        <w:r w:rsidR="00AF416F" w:rsidRPr="00C91C33">
          <w:rPr>
            <w:rStyle w:val="a3"/>
            <w:lang w:val="en-US"/>
          </w:rPr>
          <w:t>ru</w:t>
        </w:r>
        <w:proofErr w:type="spellEnd"/>
        <w:r w:rsidR="00AF416F" w:rsidRPr="00AF67C8">
          <w:rPr>
            <w:rStyle w:val="a3"/>
          </w:rPr>
          <w:t>/</w:t>
        </w:r>
        <w:proofErr w:type="spellStart"/>
        <w:r w:rsidR="00AF416F" w:rsidRPr="00C91C33">
          <w:rPr>
            <w:rStyle w:val="a3"/>
            <w:lang w:val="en-US"/>
          </w:rPr>
          <w:t>rbcfreenews</w:t>
        </w:r>
        <w:proofErr w:type="spellEnd"/>
        <w:r w:rsidR="00AF416F" w:rsidRPr="00AF67C8">
          <w:rPr>
            <w:rStyle w:val="a3"/>
          </w:rPr>
          <w:t>/69</w:t>
        </w:r>
        <w:r w:rsidR="00AF416F" w:rsidRPr="00C91C33">
          <w:rPr>
            <w:rStyle w:val="a3"/>
            <w:lang w:val="en-US"/>
          </w:rPr>
          <w:t>a</w:t>
        </w:r>
        <w:r w:rsidR="00AF416F" w:rsidRPr="00AF67C8">
          <w:rPr>
            <w:rStyle w:val="a3"/>
          </w:rPr>
          <w:t>834909</w:t>
        </w:r>
        <w:r w:rsidR="00AF416F" w:rsidRPr="00C91C33">
          <w:rPr>
            <w:rStyle w:val="a3"/>
            <w:lang w:val="en-US"/>
          </w:rPr>
          <w:t>a</w:t>
        </w:r>
        <w:r w:rsidR="00AF416F" w:rsidRPr="00AF67C8">
          <w:rPr>
            <w:rStyle w:val="a3"/>
          </w:rPr>
          <w:t>7947</w:t>
        </w:r>
        <w:r w:rsidR="00AF416F" w:rsidRPr="00C91C33">
          <w:rPr>
            <w:rStyle w:val="a3"/>
            <w:lang w:val="en-US"/>
          </w:rPr>
          <w:t>b</w:t>
        </w:r>
        <w:r w:rsidR="00AF416F" w:rsidRPr="00AF67C8">
          <w:rPr>
            <w:rStyle w:val="a3"/>
          </w:rPr>
          <w:t>5</w:t>
        </w:r>
        <w:r w:rsidR="00AF416F" w:rsidRPr="00C91C33">
          <w:rPr>
            <w:rStyle w:val="a3"/>
            <w:lang w:val="en-US"/>
          </w:rPr>
          <w:t>d</w:t>
        </w:r>
        <w:r w:rsidR="00AF416F" w:rsidRPr="00AF67C8">
          <w:rPr>
            <w:rStyle w:val="a3"/>
          </w:rPr>
          <w:t>8</w:t>
        </w:r>
        <w:proofErr w:type="spellStart"/>
        <w:r w:rsidR="00AF416F" w:rsidRPr="00C91C33">
          <w:rPr>
            <w:rStyle w:val="a3"/>
            <w:lang w:val="en-US"/>
          </w:rPr>
          <w:t>bff</w:t>
        </w:r>
        <w:proofErr w:type="spellEnd"/>
        <w:r w:rsidR="00AF416F" w:rsidRPr="00AF67C8">
          <w:rPr>
            <w:rStyle w:val="a3"/>
          </w:rPr>
          <w:t>825</w:t>
        </w:r>
      </w:hyperlink>
      <w:r w:rsidR="00AF416F" w:rsidRPr="00AF67C8">
        <w:t xml:space="preserve"> </w:t>
      </w:r>
    </w:p>
    <w:p w14:paraId="05BB0991" w14:textId="5AC863F0" w:rsidR="00512CC0" w:rsidRPr="00512CC0" w:rsidRDefault="00512CC0" w:rsidP="00512CC0">
      <w:pPr>
        <w:pStyle w:val="2"/>
      </w:pPr>
      <w:bookmarkStart w:id="135" w:name="_Toc223591172"/>
      <w:r w:rsidRPr="00512CC0">
        <w:t>Интерфакс, 04.03.2026: Коллективные инвестиции станут драйвером роста капитализации фондового рынка</w:t>
      </w:r>
      <w:bookmarkEnd w:id="135"/>
    </w:p>
    <w:p w14:paraId="736ABBC4" w14:textId="77777777" w:rsidR="00512CC0" w:rsidRPr="00512CC0" w:rsidRDefault="00512CC0" w:rsidP="00512CC0">
      <w:pPr>
        <w:pStyle w:val="3"/>
      </w:pPr>
      <w:bookmarkStart w:id="136" w:name="_Toc223591173"/>
      <w:r w:rsidRPr="00512CC0">
        <w:t xml:space="preserve">В период продолжительного цикла жесткой денежно-кредитной политики главными вызовами для российского фондового рынка стали рост инфляции, конкуренция с рынком депозитов, раскрытие информации, ликвидность предложений первичного и вторичного размещения, уровень доверия со стороны инвесторов. Для выполнения амбициозной задачи по удвоению капитализации рынка к 2030 году необходимо одновременно создать "длинный спрос" через коллективные инвестиции и долгосрочные сбережения, расширить предложение эмитентов и качество </w:t>
      </w:r>
      <w:r w:rsidRPr="00512CC0">
        <w:rPr>
          <w:lang w:val="en-US"/>
        </w:rPr>
        <w:t>IPO</w:t>
      </w:r>
      <w:r w:rsidRPr="00512CC0">
        <w:t xml:space="preserve">, сделать инфраструктуру рынка удобной, цифровой и понятной инвестору, говорить с инвестором на языке его целей и задач, заявил Алексей </w:t>
      </w:r>
      <w:proofErr w:type="spellStart"/>
      <w:r w:rsidRPr="00512CC0">
        <w:t>Жоголев</w:t>
      </w:r>
      <w:proofErr w:type="spellEnd"/>
      <w:r w:rsidRPr="00512CC0">
        <w:t xml:space="preserve">, старший вице-президент, директор департамента управления благосостоянием ПСБ, выступая на сессии "Будущее рынка управления активами" в рамках </w:t>
      </w:r>
      <w:r w:rsidRPr="00512CC0">
        <w:rPr>
          <w:lang w:val="en-US"/>
        </w:rPr>
        <w:t>II</w:t>
      </w:r>
      <w:r w:rsidRPr="00512CC0">
        <w:t xml:space="preserve"> Форума лидеров рынка управления активами.</w:t>
      </w:r>
      <w:bookmarkEnd w:id="136"/>
    </w:p>
    <w:p w14:paraId="60B241F7" w14:textId="77777777" w:rsidR="00512CC0" w:rsidRPr="00512CC0" w:rsidRDefault="00512CC0" w:rsidP="00512CC0">
      <w:r w:rsidRPr="00512CC0">
        <w:t xml:space="preserve">"Есть макроэкономический контекст, в котором мы живем, - довести капитализацию фондового рынка до 66% ВВП к 2030 году, или 1,5 трлн рублей </w:t>
      </w:r>
      <w:r w:rsidRPr="00512CC0">
        <w:rPr>
          <w:lang w:val="en-US"/>
        </w:rPr>
        <w:t>IPO</w:t>
      </w:r>
      <w:r w:rsidRPr="00512CC0">
        <w:t xml:space="preserve"> в год на протяжении 5 лет, и это существенная цифра. Напомню, что прошлом году первичных размещений было сделано на 33 млрд рублей, годом ранее было размещено около 80-100 млрд, нам </w:t>
      </w:r>
      <w:r w:rsidRPr="00512CC0">
        <w:lastRenderedPageBreak/>
        <w:t xml:space="preserve">есть куда расти. Важно сохранять оптимизм, рынок коллективных инвестиций является тем инструментом, который может и должен стать локомотивом привлечения средств в экономику России", - отметил Алексей </w:t>
      </w:r>
      <w:proofErr w:type="spellStart"/>
      <w:r w:rsidRPr="00512CC0">
        <w:t>Жоголев</w:t>
      </w:r>
      <w:proofErr w:type="spellEnd"/>
      <w:r w:rsidRPr="00512CC0">
        <w:t>.</w:t>
      </w:r>
    </w:p>
    <w:p w14:paraId="319992FF" w14:textId="77777777" w:rsidR="00512CC0" w:rsidRPr="00512CC0" w:rsidRDefault="00512CC0" w:rsidP="00512CC0">
      <w:r w:rsidRPr="00512CC0">
        <w:t>По мнению спикера, финансовым игрокам, профучастникам и работодателям необходимо уделять больше внимания формированию долгосрочных сбережений граждан: "В текущих условиях пятилетний период размещения средств на индивидуальном инвестиционном счете является комфортным и достаточным. Однако сейчас ИИС недооценен клиентами, не каждый понимает его преимущества и готов разбираться с налоговыми льготами. Необходимо стимулировать интерес массовых инвесторов к долгосрочным инструментам, таким как ПДС, корпоративные пенсионные программы, фонды, ИИС. Во многом на профучастниках и работодателях лежит ответственность за формирование долгосрочных системных и целевых решений для клиентов и сотрудников, например, по созданию пенсионных накоплений, сбережений на обучение детей, покупку недвижимости или других значимых целей".</w:t>
      </w:r>
    </w:p>
    <w:p w14:paraId="6BA91A8C" w14:textId="77777777" w:rsidR="00512CC0" w:rsidRPr="00512CC0" w:rsidRDefault="00512CC0" w:rsidP="00512CC0">
      <w:r w:rsidRPr="00512CC0">
        <w:t xml:space="preserve">В заключение Алексей </w:t>
      </w:r>
      <w:proofErr w:type="spellStart"/>
      <w:r w:rsidRPr="00512CC0">
        <w:t>Жоголев</w:t>
      </w:r>
      <w:proofErr w:type="spellEnd"/>
      <w:r w:rsidRPr="00512CC0">
        <w:t xml:space="preserve"> подчеркнул, что в одной связке с ростом капитализации рынка стоит увеличение объема и качества нового предложения </w:t>
      </w:r>
      <w:proofErr w:type="gramStart"/>
      <w:r w:rsidRPr="00512CC0">
        <w:t>на рынка</w:t>
      </w:r>
      <w:proofErr w:type="gramEnd"/>
      <w:r w:rsidRPr="00512CC0">
        <w:t xml:space="preserve"> акций (</w:t>
      </w:r>
      <w:r w:rsidRPr="00512CC0">
        <w:rPr>
          <w:lang w:val="en-US"/>
        </w:rPr>
        <w:t>IPO</w:t>
      </w:r>
      <w:r w:rsidRPr="00512CC0">
        <w:t>/</w:t>
      </w:r>
      <w:r w:rsidRPr="00512CC0">
        <w:rPr>
          <w:lang w:val="en-US"/>
        </w:rPr>
        <w:t>SPO</w:t>
      </w:r>
      <w:r w:rsidRPr="00512CC0">
        <w:t xml:space="preserve">), обращение цифровых финансовых активов, развитие цифровой инфраструктуры и безопасных решений, а также меры борьбы с </w:t>
      </w:r>
      <w:proofErr w:type="spellStart"/>
      <w:r w:rsidRPr="00512CC0">
        <w:t>мисселингом</w:t>
      </w:r>
      <w:proofErr w:type="spellEnd"/>
      <w:r w:rsidRPr="00512CC0">
        <w:t xml:space="preserve">. Дискуссия прошла с участием представителей Минфина России, Государственной Думы, Банка России, </w:t>
      </w:r>
      <w:proofErr w:type="spellStart"/>
      <w:r w:rsidRPr="00512CC0">
        <w:t>Мосбиржи</w:t>
      </w:r>
      <w:proofErr w:type="spellEnd"/>
      <w:r w:rsidRPr="00512CC0">
        <w:t>, НАПФ, ведущих банков и управляющих компаний.</w:t>
      </w:r>
    </w:p>
    <w:p w14:paraId="516C6BDD" w14:textId="77777777" w:rsidR="00512CC0" w:rsidRPr="00512CC0" w:rsidRDefault="00512CC0" w:rsidP="00512CC0">
      <w:r w:rsidRPr="00512CC0">
        <w:t>ПРЕСС-РЕЛИЗ. Материал предоставлен источником.</w:t>
      </w:r>
    </w:p>
    <w:p w14:paraId="43A66E59" w14:textId="76D8D4B3" w:rsidR="00512CC0" w:rsidRPr="00512CC0" w:rsidRDefault="000D71EB" w:rsidP="00512CC0">
      <w:hyperlink r:id="rId44" w:history="1">
        <w:r w:rsidR="00512CC0" w:rsidRPr="00C91C33">
          <w:rPr>
            <w:rStyle w:val="a3"/>
            <w:lang w:val="en-US"/>
          </w:rPr>
          <w:t>https</w:t>
        </w:r>
        <w:r w:rsidR="00512CC0" w:rsidRPr="00512CC0">
          <w:rPr>
            <w:rStyle w:val="a3"/>
          </w:rPr>
          <w:t>://</w:t>
        </w:r>
        <w:r w:rsidR="00512CC0" w:rsidRPr="00C91C33">
          <w:rPr>
            <w:rStyle w:val="a3"/>
            <w:lang w:val="en-US"/>
          </w:rPr>
          <w:t>www</w:t>
        </w:r>
        <w:r w:rsidR="00512CC0" w:rsidRPr="00512CC0">
          <w:rPr>
            <w:rStyle w:val="a3"/>
          </w:rPr>
          <w:t>.</w:t>
        </w:r>
        <w:proofErr w:type="spellStart"/>
        <w:r w:rsidR="00512CC0" w:rsidRPr="00C91C33">
          <w:rPr>
            <w:rStyle w:val="a3"/>
            <w:lang w:val="en-US"/>
          </w:rPr>
          <w:t>interfax</w:t>
        </w:r>
        <w:proofErr w:type="spellEnd"/>
        <w:r w:rsidR="00512CC0" w:rsidRPr="00512CC0">
          <w:rPr>
            <w:rStyle w:val="a3"/>
          </w:rPr>
          <w:t>.</w:t>
        </w:r>
        <w:proofErr w:type="spellStart"/>
        <w:r w:rsidR="00512CC0" w:rsidRPr="00C91C33">
          <w:rPr>
            <w:rStyle w:val="a3"/>
            <w:lang w:val="en-US"/>
          </w:rPr>
          <w:t>ru</w:t>
        </w:r>
        <w:proofErr w:type="spellEnd"/>
        <w:r w:rsidR="00512CC0" w:rsidRPr="00512CC0">
          <w:rPr>
            <w:rStyle w:val="a3"/>
          </w:rPr>
          <w:t>/</w:t>
        </w:r>
        <w:proofErr w:type="spellStart"/>
        <w:r w:rsidR="00512CC0" w:rsidRPr="00C91C33">
          <w:rPr>
            <w:rStyle w:val="a3"/>
            <w:lang w:val="en-US"/>
          </w:rPr>
          <w:t>pressreleases</w:t>
        </w:r>
        <w:proofErr w:type="spellEnd"/>
        <w:r w:rsidR="00512CC0" w:rsidRPr="00512CC0">
          <w:rPr>
            <w:rStyle w:val="a3"/>
          </w:rPr>
          <w:t>/1076074</w:t>
        </w:r>
      </w:hyperlink>
      <w:r w:rsidR="00512CC0" w:rsidRPr="00512CC0">
        <w:t xml:space="preserve"> </w:t>
      </w:r>
    </w:p>
    <w:p w14:paraId="6863623D" w14:textId="333E37FB" w:rsidR="002D1A7F" w:rsidRPr="002F64E6" w:rsidRDefault="002D1A7F" w:rsidP="002D1A7F">
      <w:pPr>
        <w:pStyle w:val="2"/>
      </w:pPr>
      <w:bookmarkStart w:id="137" w:name="_Toc223591174"/>
      <w:r w:rsidRPr="002F64E6">
        <w:t xml:space="preserve">ТАСС, 04.03.2026, РКК создаст </w:t>
      </w:r>
      <w:r w:rsidR="00E77AB9">
        <w:t>«</w:t>
      </w:r>
      <w:r w:rsidRPr="002F64E6">
        <w:t>Кабинеты долголетия</w:t>
      </w:r>
      <w:r w:rsidR="00E77AB9">
        <w:t>»</w:t>
      </w:r>
      <w:r w:rsidRPr="002F64E6">
        <w:t xml:space="preserve"> для бесплатной помощи людям старше 60 лет</w:t>
      </w:r>
      <w:bookmarkEnd w:id="137"/>
    </w:p>
    <w:p w14:paraId="47BCAF3A" w14:textId="5D60C588" w:rsidR="002D1A7F" w:rsidRPr="002F64E6" w:rsidRDefault="002D1A7F" w:rsidP="003F5B32">
      <w:pPr>
        <w:pStyle w:val="3"/>
      </w:pPr>
      <w:bookmarkStart w:id="138" w:name="_Toc223591175"/>
      <w:r w:rsidRPr="002F64E6">
        <w:t xml:space="preserve">Российский Красный Крест (РКК) откроет </w:t>
      </w:r>
      <w:r w:rsidR="00E77AB9">
        <w:t>«</w:t>
      </w:r>
      <w:r w:rsidRPr="002F64E6">
        <w:t>кабинеты долголетия</w:t>
      </w:r>
      <w:r w:rsidR="00E77AB9">
        <w:t>»</w:t>
      </w:r>
      <w:r w:rsidRPr="002F64E6">
        <w:t xml:space="preserve"> для бесплатной медицинской поддержки на базе 41 регионального отделения организации. Люди старше 60 лет смогут пройти там первичную оценку состояния здоровья, сообщает пресс-служба РКК.</w:t>
      </w:r>
      <w:bookmarkEnd w:id="138"/>
    </w:p>
    <w:p w14:paraId="2C9B2195" w14:textId="2157A494" w:rsidR="002D1A7F" w:rsidRPr="002F64E6" w:rsidRDefault="002D1A7F" w:rsidP="002D1A7F">
      <w:r w:rsidRPr="002F64E6">
        <w:t xml:space="preserve">Организация заявила о запуске новых проектов социальной поддержки в рамках комплексной медико-социальной программы РКК в 2026 году. Принципиально новыми для организации станут проекты по поддержанию активного образа жизни среди старшего поколения - это </w:t>
      </w:r>
      <w:r w:rsidR="00E77AB9">
        <w:t>«</w:t>
      </w:r>
      <w:r w:rsidRPr="002F64E6">
        <w:t>Кабинеты долголетия</w:t>
      </w:r>
      <w:r w:rsidR="00E77AB9">
        <w:t>»</w:t>
      </w:r>
      <w:r w:rsidRPr="002F64E6">
        <w:t xml:space="preserve"> и </w:t>
      </w:r>
      <w:r w:rsidR="00E77AB9">
        <w:t>«</w:t>
      </w:r>
      <w:r w:rsidRPr="002F64E6">
        <w:t>Школа здорового долголетия</w:t>
      </w:r>
      <w:r w:rsidR="00E77AB9">
        <w:t>»</w:t>
      </w:r>
      <w:r w:rsidRPr="002F64E6">
        <w:t>.</w:t>
      </w:r>
    </w:p>
    <w:p w14:paraId="56641EFA" w14:textId="4B505578" w:rsidR="002D1A7F" w:rsidRPr="002F64E6" w:rsidRDefault="00E77AB9" w:rsidP="002D1A7F">
      <w:r>
        <w:t>«</w:t>
      </w:r>
      <w:r w:rsidR="002D1A7F" w:rsidRPr="002F64E6">
        <w:t>Кабинеты долголетия</w:t>
      </w:r>
      <w:r>
        <w:t>»</w:t>
      </w:r>
      <w:r w:rsidR="002D1A7F" w:rsidRPr="002F64E6">
        <w:t xml:space="preserve"> Российского Красного Креста будут созданы на базе 41 регионального отделения организации. Люди старше 60 лет смогут пройти бесплатную курсовую программу комплексной медико-социальной поддержки, в рамках которой специалисты проведут первичную оценку состояния здоровья, мониторинг жизненных показателей и будут вовлекать участников в занятия по физической активности, профилактике возрастных заболеваний и поддержанию когнитивного здоровья</w:t>
      </w:r>
      <w:r>
        <w:t>»</w:t>
      </w:r>
      <w:r w:rsidR="002D1A7F" w:rsidRPr="002F64E6">
        <w:t>, - говорится в сообщении.</w:t>
      </w:r>
    </w:p>
    <w:p w14:paraId="5A055275" w14:textId="2612F600" w:rsidR="002D1A7F" w:rsidRPr="002F64E6" w:rsidRDefault="002D1A7F" w:rsidP="002D1A7F">
      <w:r w:rsidRPr="002F64E6">
        <w:t xml:space="preserve">Главная особенность </w:t>
      </w:r>
      <w:r w:rsidR="00E77AB9">
        <w:t>«</w:t>
      </w:r>
      <w:r w:rsidRPr="002F64E6">
        <w:t>кабинетов долголетия</w:t>
      </w:r>
      <w:r w:rsidR="00E77AB9">
        <w:t>»</w:t>
      </w:r>
      <w:r w:rsidRPr="002F64E6">
        <w:t xml:space="preserve"> - индивидуальный подход. С каждым участником специалисты будут работать отдельно и при необходимости дадут персональные рекомендации, к какому специалисту или в какую службу обратиться. </w:t>
      </w:r>
      <w:r w:rsidRPr="002F64E6">
        <w:lastRenderedPageBreak/>
        <w:t>Программа также включает просветительские и досуговые мероприятия, направленные на укрепление социальной активности и профилактику одиночества. В 2026 году помощь в рамках проекта смогут получить не менее 9 200 человек.</w:t>
      </w:r>
    </w:p>
    <w:p w14:paraId="19393317" w14:textId="4B218562" w:rsidR="002D1A7F" w:rsidRPr="002F64E6" w:rsidRDefault="002D1A7F" w:rsidP="002D1A7F">
      <w:r w:rsidRPr="002F64E6">
        <w:t xml:space="preserve">На базе 62 региональных отделений начнет работать </w:t>
      </w:r>
      <w:r w:rsidR="00E77AB9">
        <w:t>«</w:t>
      </w:r>
      <w:r w:rsidRPr="002F64E6">
        <w:t>Школа здорового долголетия</w:t>
      </w:r>
      <w:r w:rsidR="00E77AB9">
        <w:t>»</w:t>
      </w:r>
      <w:r w:rsidRPr="002F64E6">
        <w:t xml:space="preserve"> для пожилых граждан. Проект направлен на профилактику заболеваний, укрепление здоровья и поддержание социальной активности. В рамках </w:t>
      </w:r>
      <w:r w:rsidR="00E77AB9">
        <w:t>«</w:t>
      </w:r>
      <w:r w:rsidRPr="002F64E6">
        <w:t>Школы здорового долголетия</w:t>
      </w:r>
      <w:r w:rsidR="00E77AB9">
        <w:t>»</w:t>
      </w:r>
      <w:r w:rsidRPr="002F64E6">
        <w:t xml:space="preserve"> участники смогут посещать групповые занятия, где узнают о правильном питании, безопасной физической активности, профилактике возрастных изменений и способах поддержания хорошего самочувствия.</w:t>
      </w:r>
    </w:p>
    <w:p w14:paraId="4269B200" w14:textId="430767D9" w:rsidR="002D1A7F" w:rsidRPr="002F64E6" w:rsidRDefault="002D1A7F" w:rsidP="002D1A7F">
      <w:r w:rsidRPr="002F64E6">
        <w:t xml:space="preserve">Кроме того, продолжится реализация проекта </w:t>
      </w:r>
      <w:r w:rsidR="00E77AB9">
        <w:t>«</w:t>
      </w:r>
      <w:r w:rsidRPr="002F64E6">
        <w:t>Школа родственного ухода</w:t>
      </w:r>
      <w:r w:rsidR="00E77AB9">
        <w:t>»</w:t>
      </w:r>
      <w:r w:rsidRPr="002F64E6">
        <w:t xml:space="preserve"> - в 2026 году планируется обучить основам ухода за близкими, нуждающимися в посторонней помощи, не менее 36 тыс. человек в 74 регионах страны. Также в 21 регионе будет запущен пилотный проект </w:t>
      </w:r>
      <w:r w:rsidR="00E77AB9">
        <w:t>«</w:t>
      </w:r>
      <w:r w:rsidRPr="002F64E6">
        <w:t>Служба помощников по уходу</w:t>
      </w:r>
      <w:r w:rsidR="00E77AB9">
        <w:t>»</w:t>
      </w:r>
      <w:r w:rsidRPr="002F64E6">
        <w:t>, предусматривающий создание профессиональных служб надомного ухода и оказание бесплатной социальной помощи наиболее уязвимым категориям граждан.</w:t>
      </w:r>
    </w:p>
    <w:p w14:paraId="6BDE9020" w14:textId="77777777" w:rsidR="002D1A7F" w:rsidRPr="002F64E6" w:rsidRDefault="002D1A7F" w:rsidP="002D1A7F">
      <w:r w:rsidRPr="002F64E6">
        <w:t>Активное долголетие</w:t>
      </w:r>
    </w:p>
    <w:p w14:paraId="544C0B91" w14:textId="3603F7B4" w:rsidR="002D1A7F" w:rsidRPr="002F64E6" w:rsidRDefault="002D1A7F" w:rsidP="002D1A7F">
      <w:r w:rsidRPr="002F64E6">
        <w:t xml:space="preserve">Все проекты реализуются в рамках государственной программы РФ </w:t>
      </w:r>
      <w:r w:rsidR="00E77AB9">
        <w:t>«</w:t>
      </w:r>
      <w:r w:rsidRPr="002F64E6">
        <w:t>Социальная поддержка граждан</w:t>
      </w:r>
      <w:r w:rsidR="00E77AB9">
        <w:t>»</w:t>
      </w:r>
      <w:r w:rsidRPr="002F64E6">
        <w:t xml:space="preserve"> при поддержке Минтруда России и направлены на развитие активного долголетия. Планируется, что общий охват медико-социальной помощью составит не менее 53 тыс. человек.</w:t>
      </w:r>
    </w:p>
    <w:p w14:paraId="3BD719C5" w14:textId="14B54B46" w:rsidR="00A22141" w:rsidRDefault="000D71EB" w:rsidP="002D1A7F">
      <w:hyperlink r:id="rId45" w:history="1">
        <w:r w:rsidR="002D1A7F" w:rsidRPr="002F64E6">
          <w:rPr>
            <w:rStyle w:val="a3"/>
          </w:rPr>
          <w:t>https://tass.ru/obschestvo/26640491</w:t>
        </w:r>
      </w:hyperlink>
    </w:p>
    <w:p w14:paraId="0DE207F9" w14:textId="7F329E09" w:rsidR="009B3A6F" w:rsidRDefault="009B3A6F" w:rsidP="009B3A6F">
      <w:pPr>
        <w:pStyle w:val="2"/>
      </w:pPr>
      <w:bookmarkStart w:id="139" w:name="_Toc223591176"/>
      <w:proofErr w:type="spellStart"/>
      <w:r>
        <w:t>MoneyTimes.Ru</w:t>
      </w:r>
      <w:proofErr w:type="spellEnd"/>
      <w:r>
        <w:t>, 04.03.2026</w:t>
      </w:r>
      <w:r w:rsidRPr="00D438FC">
        <w:t xml:space="preserve">, </w:t>
      </w:r>
      <w:proofErr w:type="gramStart"/>
      <w:r>
        <w:t>Манят</w:t>
      </w:r>
      <w:proofErr w:type="gramEnd"/>
      <w:r>
        <w:t xml:space="preserve"> прибылью, а дохода нет: эти ошибки начинающие инвесторы совершают чаще всего</w:t>
      </w:r>
      <w:bookmarkEnd w:id="139"/>
    </w:p>
    <w:p w14:paraId="33589E98" w14:textId="77777777" w:rsidR="009B3A6F" w:rsidRDefault="009B3A6F" w:rsidP="009B3A6F">
      <w:pPr>
        <w:pStyle w:val="3"/>
      </w:pPr>
      <w:bookmarkStart w:id="140" w:name="_Toc223591177"/>
      <w:r>
        <w:t xml:space="preserve">Инвестиции подходят только для долгосрочных целей и не терпят ожиданий "волшебной" доходности, подчеркнул независимый финансовый советник, руководитель проекта "Рост Сбережений" Сергей </w:t>
      </w:r>
      <w:proofErr w:type="spellStart"/>
      <w:r>
        <w:t>Кикевич</w:t>
      </w:r>
      <w:proofErr w:type="spellEnd"/>
      <w:r>
        <w:t xml:space="preserve">. В комментарии </w:t>
      </w:r>
      <w:proofErr w:type="spellStart"/>
      <w:r>
        <w:t>MoneyTimes</w:t>
      </w:r>
      <w:proofErr w:type="spellEnd"/>
      <w:r>
        <w:t xml:space="preserve"> он перечислил типичные ошибки новичков и объяснил, как их избежать.</w:t>
      </w:r>
      <w:bookmarkEnd w:id="140"/>
    </w:p>
    <w:p w14:paraId="69C8FD77" w14:textId="77777777" w:rsidR="009B3A6F" w:rsidRDefault="009B3A6F" w:rsidP="009B3A6F">
      <w:proofErr w:type="gramStart"/>
      <w:r>
        <w:t>Ключевая проблема начинающих инвесторов это</w:t>
      </w:r>
      <w:proofErr w:type="gramEnd"/>
      <w:r>
        <w:t xml:space="preserve"> непонимание самой сути инвестирования, отметил эксперт. По его словам, этот инструмент не предназначен для получения сиюминутной прибыли.</w:t>
      </w:r>
    </w:p>
    <w:p w14:paraId="5EB0ACAC" w14:textId="77777777" w:rsidR="009B3A6F" w:rsidRDefault="009B3A6F" w:rsidP="009B3A6F">
      <w:r>
        <w:t>"</w:t>
      </w:r>
      <w:proofErr w:type="gramStart"/>
      <w:r>
        <w:t>Инвестиции это</w:t>
      </w:r>
      <w:proofErr w:type="gramEnd"/>
      <w:r>
        <w:t xml:space="preserve"> инструмент, который подразумевает решение долгосрочных, важных финансовых вопросов. Это может быть покупка квартиры, пенсионные накопления, обучение детей", - отметил </w:t>
      </w:r>
      <w:proofErr w:type="spellStart"/>
      <w:r>
        <w:t>Кикевич</w:t>
      </w:r>
      <w:proofErr w:type="spellEnd"/>
      <w:r>
        <w:t>.</w:t>
      </w:r>
    </w:p>
    <w:p w14:paraId="3ADD38A6" w14:textId="77777777" w:rsidR="009B3A6F" w:rsidRDefault="009B3A6F" w:rsidP="009B3A6F">
      <w:r>
        <w:t>Он уточнил, что инвестировать имеет смысл только при горизонте не менее пяти лет, а лучше - десяти. Если деньги могут понадобиться через два-три года, то инвестиционные инструменты не подходят и стоит рассматривать депозиты или, при достаточных знаниях, облигации.</w:t>
      </w:r>
    </w:p>
    <w:p w14:paraId="53D2FCF0" w14:textId="77777777" w:rsidR="009B3A6F" w:rsidRDefault="009B3A6F" w:rsidP="009B3A6F">
      <w:r>
        <w:t>Второй распространенной ошибкой специалист назвал завышенные ожидания по доходности. Он подчеркнул, что обещания быстрой и гарантированной прибыли - признак обмана.</w:t>
      </w:r>
    </w:p>
    <w:p w14:paraId="603E6BB6" w14:textId="77777777" w:rsidR="009B3A6F" w:rsidRDefault="009B3A6F" w:rsidP="009B3A6F">
      <w:r>
        <w:lastRenderedPageBreak/>
        <w:t xml:space="preserve">"Люди ожидают каких-то волшебных результатов от инвестиций. Им зачастую подыгрывают маркетологи, обещают, что они разбогатеют </w:t>
      </w:r>
      <w:proofErr w:type="gramStart"/>
      <w:r>
        <w:t>Через</w:t>
      </w:r>
      <w:proofErr w:type="gramEnd"/>
      <w:r>
        <w:t xml:space="preserve"> несколько месяцев, через год, якобы, какая-то неправдоподобная доходность появится. Это все, конечно, ложь, неправда, попытка заманить человека, выудить у него деньги", - подчеркнул эксперт.</w:t>
      </w:r>
    </w:p>
    <w:p w14:paraId="55B70DDE" w14:textId="77777777" w:rsidR="009B3A6F" w:rsidRDefault="009B3A6F" w:rsidP="009B3A6F">
      <w:proofErr w:type="spellStart"/>
      <w:r>
        <w:t>Кикевич</w:t>
      </w:r>
      <w:proofErr w:type="spellEnd"/>
      <w:r>
        <w:t xml:space="preserve"> напомнил, что по закону гарантировать доходность в инвестициях запрещено, в отличие от банковских депозитов. Он добавил, что ориентироваться стоит на реалистичные показатели: например, среднегодовая доходность индекса Московской биржи за длительный период составляет около пятнадцати процентов в рублях, тогда как обещания вдвое больше годовых в большинстве случаев являются обманом.</w:t>
      </w:r>
    </w:p>
    <w:p w14:paraId="0DB2C2D9" w14:textId="5E07CFF4" w:rsidR="009B3A6F" w:rsidRPr="00C61E9A" w:rsidRDefault="000D71EB" w:rsidP="009B3A6F">
      <w:hyperlink r:id="rId46" w:history="1">
        <w:r w:rsidR="009B3A6F" w:rsidRPr="00C91C33">
          <w:rPr>
            <w:rStyle w:val="a3"/>
          </w:rPr>
          <w:t>https://www.moneytimes.ru/news/investirovanie-dokhodnost-dengi-pribyl-fondovaja-birzha/142093/</w:t>
        </w:r>
      </w:hyperlink>
      <w:r w:rsidR="009B3A6F">
        <w:t xml:space="preserve"> </w:t>
      </w:r>
    </w:p>
    <w:p w14:paraId="2880434D" w14:textId="0DAF0881" w:rsidR="00D438FC" w:rsidRPr="005026F0" w:rsidRDefault="00D438FC" w:rsidP="00D438FC">
      <w:pPr>
        <w:pStyle w:val="2"/>
      </w:pPr>
      <w:bookmarkStart w:id="141" w:name="_Toc223591178"/>
      <w:r w:rsidRPr="00D438FC">
        <w:rPr>
          <w:lang w:val="en-US"/>
        </w:rPr>
        <w:t>NEWS</w:t>
      </w:r>
      <w:r w:rsidRPr="00D438FC">
        <w:t>.</w:t>
      </w:r>
      <w:proofErr w:type="spellStart"/>
      <w:r w:rsidRPr="00D438FC">
        <w:rPr>
          <w:lang w:val="en-US"/>
        </w:rPr>
        <w:t>ru</w:t>
      </w:r>
      <w:proofErr w:type="spellEnd"/>
      <w:r w:rsidRPr="00D438FC">
        <w:t>, 04.03.2026</w:t>
      </w:r>
      <w:r w:rsidRPr="005026F0">
        <w:t xml:space="preserve">, Путин назвал способ повысить эффективность экономики </w:t>
      </w:r>
      <w:proofErr w:type="spellStart"/>
      <w:r w:rsidRPr="005026F0">
        <w:t>россии</w:t>
      </w:r>
      <w:bookmarkEnd w:id="141"/>
      <w:proofErr w:type="spellEnd"/>
    </w:p>
    <w:p w14:paraId="5F7A3851" w14:textId="77777777" w:rsidR="00D438FC" w:rsidRPr="005026F0" w:rsidRDefault="00D438FC" w:rsidP="00D438FC">
      <w:pPr>
        <w:pStyle w:val="3"/>
      </w:pPr>
      <w:bookmarkStart w:id="142" w:name="_Toc223591179"/>
      <w:r w:rsidRPr="005026F0">
        <w:t>Российскую экономику необходимо сделать более эффективной за счет создания современных и хорошо оплачиваемых рабочих мест, заявил президент РФ Владимир Путин на совещании по экономическим вопросам, трансляция доступна на сайте Кремля. Он поручил правительству уделить повышенное внимание улучшению структуры занятости в стране.</w:t>
      </w:r>
      <w:bookmarkEnd w:id="142"/>
    </w:p>
    <w:p w14:paraId="6ECF5962" w14:textId="77777777" w:rsidR="00D438FC" w:rsidRPr="005026F0" w:rsidRDefault="00D438FC" w:rsidP="00D438FC">
      <w:r w:rsidRPr="005026F0">
        <w:t>Прошу коллег уделять повышенное внимание улучшению структуры занятости в экономике. Нам важно сделать ее более эффективной за счет создания современных, хорошо оплачиваемых рабочих мест в секторах с высокой производительностью труда, - указал Путин.</w:t>
      </w:r>
    </w:p>
    <w:p w14:paraId="23A4FC44" w14:textId="77777777" w:rsidR="00D438FC" w:rsidRPr="005026F0" w:rsidRDefault="00D438FC" w:rsidP="00D438FC">
      <w:r w:rsidRPr="005026F0">
        <w:t xml:space="preserve">Президент отметил, что это </w:t>
      </w:r>
      <w:proofErr w:type="gramStart"/>
      <w:r w:rsidRPr="005026F0">
        <w:t>важно</w:t>
      </w:r>
      <w:proofErr w:type="gramEnd"/>
      <w:r w:rsidRPr="005026F0">
        <w:t xml:space="preserve"> как для действующих специалистов, так и для тех, кто еще только выбирает профессию или учится.</w:t>
      </w:r>
    </w:p>
    <w:p w14:paraId="2E8B38EC" w14:textId="0B6E7354" w:rsidR="00D438FC" w:rsidRDefault="00D438FC" w:rsidP="00D438FC">
      <w:r w:rsidRPr="005026F0">
        <w:t xml:space="preserve">Ранее член комитета Госдумы по труду, социальной политике и делам ветеранов Светлана </w:t>
      </w:r>
      <w:proofErr w:type="spellStart"/>
      <w:r w:rsidRPr="005026F0">
        <w:t>Бессараб</w:t>
      </w:r>
      <w:proofErr w:type="spellEnd"/>
      <w:r w:rsidRPr="005026F0">
        <w:t xml:space="preserve"> сообщила, что в России с января 2026 года вступил в силу ряд позитивных изменений в трудовом законодательстве и социальной сфере. Основным новшеством стало значительное повышение минимального размера оплаты труда и связанных с ним социальных выплат.</w:t>
      </w:r>
    </w:p>
    <w:p w14:paraId="60EB56C3" w14:textId="5AA1EB1F" w:rsidR="00E56A8C" w:rsidRDefault="00E56A8C" w:rsidP="00E56A8C">
      <w:pPr>
        <w:pStyle w:val="2"/>
      </w:pPr>
      <w:bookmarkStart w:id="143" w:name="_Toc223591180"/>
      <w:r>
        <w:t>Spark.ru, 04.03.2026</w:t>
      </w:r>
      <w:r w:rsidRPr="00E56A8C">
        <w:t xml:space="preserve">, </w:t>
      </w:r>
      <w:r>
        <w:t>Налоги 2026: 13 изменений, которые работают в пользу бизнеса</w:t>
      </w:r>
      <w:bookmarkEnd w:id="143"/>
    </w:p>
    <w:p w14:paraId="3F6C66B5" w14:textId="77777777" w:rsidR="00E56A8C" w:rsidRDefault="00E56A8C" w:rsidP="00E56A8C">
      <w:pPr>
        <w:pStyle w:val="3"/>
      </w:pPr>
      <w:bookmarkStart w:id="144" w:name="_Toc223591181"/>
      <w:r>
        <w:t>Налоговая реформа 2026 года воспринимается бизнес-сообществом преимущественно негативно - и небезосновательно. Повышение НДС до 22%, прогрессивная шкала НДФЛ, обязательный НДС для упрощенцев с доходом свыше 20 млн - всё это увеличивает нагрузку.</w:t>
      </w:r>
      <w:bookmarkEnd w:id="144"/>
    </w:p>
    <w:p w14:paraId="3CAD0EDD" w14:textId="77777777" w:rsidR="00E56A8C" w:rsidRDefault="00E56A8C" w:rsidP="00E56A8C">
      <w:r>
        <w:t>Однако в массиве изменений есть ряд норм, которые объективно улучшают положение налогоплательщиков. О них говорят значительно реже. Разберём каждое.</w:t>
      </w:r>
    </w:p>
    <w:p w14:paraId="561FF758" w14:textId="77777777" w:rsidR="00E56A8C" w:rsidRDefault="00E56A8C" w:rsidP="00E56A8C">
      <w:r>
        <w:t>1. Семейная налоговая выплата - возврат до 50 400 руб. на семью</w:t>
      </w:r>
    </w:p>
    <w:p w14:paraId="2360DA9D" w14:textId="77777777" w:rsidR="00E56A8C" w:rsidRDefault="00E56A8C" w:rsidP="00E56A8C">
      <w:r>
        <w:lastRenderedPageBreak/>
        <w:t xml:space="preserve">С 1 января 2026 года вступила в силу семейная налоговая выплата (Федеральный закон от 13.07.2024 № 179-ФЗ). Механизм следующий: работающим родителям с двумя и более детьми до 18 лет (до 23 лет при очном обучении), чей среднедушевой доход не превышает 1,5 прожиточного минимума в регионе, НДФЛ за прошлый год пересчитывается по ставке 6% вместо 13%. Разницу - 7% от годового дохода - выплачивает Социальный фонд </w:t>
      </w:r>
      <w:proofErr w:type="spellStart"/>
      <w:r>
        <w:t>России.На</w:t>
      </w:r>
      <w:proofErr w:type="spellEnd"/>
      <w:r>
        <w:t xml:space="preserve"> практике: при зарплате 30 000 руб. в месяц возврат составит 25 200 руб. на одного родителя. Оба родителя могут подать заявление одновременно - итого до 50 400 руб. на семью. Заявление подаётся через </w:t>
      </w:r>
      <w:proofErr w:type="spellStart"/>
      <w:r>
        <w:t>Госуслуги</w:t>
      </w:r>
      <w:proofErr w:type="spellEnd"/>
      <w:r>
        <w:t xml:space="preserve">, МФЦ или СФР с 1 июня по 1 октября. Первые выплаты за 2025 год - летом 2026 </w:t>
      </w:r>
      <w:proofErr w:type="spellStart"/>
      <w:proofErr w:type="gramStart"/>
      <w:r>
        <w:t>года.По</w:t>
      </w:r>
      <w:proofErr w:type="spellEnd"/>
      <w:proofErr w:type="gramEnd"/>
      <w:r>
        <w:t xml:space="preserve"> оценкам, мера охватит около 7 млн родителей и 11 млн детей.</w:t>
      </w:r>
    </w:p>
    <w:p w14:paraId="55AF853C" w14:textId="77777777" w:rsidR="00E56A8C" w:rsidRDefault="00E56A8C" w:rsidP="00E56A8C">
      <w:r>
        <w:t>2. Стандартные вычеты на детей - рост вдвое</w:t>
      </w:r>
    </w:p>
    <w:p w14:paraId="49974495" w14:textId="77777777" w:rsidR="00E56A8C" w:rsidRDefault="00E56A8C" w:rsidP="00E56A8C">
      <w:r>
        <w:t xml:space="preserve">Вычет на второго ребёнка увеличен с 1 400 до 2 800 руб. в месяц. На третьего и каждого последующего - с 3 000 до 6 000 руб. Лимит дохода для применения вычета вырос с 350 000 до 450 000 руб. - вычет работает дольше в течение </w:t>
      </w:r>
      <w:proofErr w:type="spellStart"/>
      <w:proofErr w:type="gramStart"/>
      <w:r>
        <w:t>года.Социальные</w:t>
      </w:r>
      <w:proofErr w:type="spellEnd"/>
      <w:proofErr w:type="gramEnd"/>
      <w:r>
        <w:t xml:space="preserve"> вычеты (обучение, лечение, фитнес, страхование) увеличены со 120 000 до 150 000 руб. в год. Работодатель предоставляет стандартные вычеты автоматически, без заявления работника.</w:t>
      </w:r>
    </w:p>
    <w:p w14:paraId="4B2EF6A6" w14:textId="77777777" w:rsidR="00E56A8C" w:rsidRDefault="00E56A8C" w:rsidP="00E56A8C">
      <w:r>
        <w:t>3. Продажа жилья многодетными - без НДФЛ</w:t>
      </w:r>
    </w:p>
    <w:p w14:paraId="63B91512" w14:textId="77777777" w:rsidR="00E56A8C" w:rsidRDefault="00E56A8C" w:rsidP="00E56A8C">
      <w:r>
        <w:t>Семьи с двумя и более детьми до 18 лет (до 24 при очном обучении) освобождены от НДФЛ при продаже жилья без привязки к минимальному сроку владения. Условие - покупка нового жилья большей площади. Для семей, которые улучшают жилищные условия, - существенная экономия.</w:t>
      </w:r>
    </w:p>
    <w:p w14:paraId="4E6A3A6A" w14:textId="77777777" w:rsidR="00E56A8C" w:rsidRDefault="00E56A8C" w:rsidP="00E56A8C">
      <w:r>
        <w:t>4. Налог на имущество - вычеты для многодетных и дольщиков</w:t>
      </w:r>
    </w:p>
    <w:p w14:paraId="5C4FDD68" w14:textId="77777777" w:rsidR="00E56A8C" w:rsidRDefault="00E56A8C" w:rsidP="00E56A8C">
      <w:r>
        <w:t xml:space="preserve">Многодетные семьи (три и более детей) получили дополнительный вычет: минус 5 кв. м квартиры или 7 кв. м дома на каждого ребёнка - сверх стандартных 20 кв. м для квартиры и 50 кв. м для дома. Семья с тремя детьми в квартире 80 кв. м платит налог только за 45 кв. </w:t>
      </w:r>
      <w:proofErr w:type="spellStart"/>
      <w:r>
        <w:t>м.Отменена</w:t>
      </w:r>
      <w:proofErr w:type="spellEnd"/>
      <w:r>
        <w:t xml:space="preserve"> повышенная ставка 2,5% для объектов незавершённого строительства стоимостью свыше 300 млн руб. - теперь максимум 2%. Продлены льготы для граждан из зон ЧС и КТО. Налоговые уведомления теперь приходят через </w:t>
      </w:r>
      <w:proofErr w:type="spellStart"/>
      <w:r>
        <w:t>Госуслуги</w:t>
      </w:r>
      <w:proofErr w:type="spellEnd"/>
      <w:r>
        <w:t>.</w:t>
      </w:r>
    </w:p>
    <w:p w14:paraId="7EEDC401" w14:textId="77777777" w:rsidR="00E56A8C" w:rsidRDefault="00E56A8C" w:rsidP="00E56A8C">
      <w:r>
        <w:t>5. УСН - расширение расходов и гибкость ставки НДС</w:t>
      </w:r>
    </w:p>
    <w:p w14:paraId="028569C8" w14:textId="77777777" w:rsidR="00E56A8C" w:rsidRDefault="00E56A8C" w:rsidP="00E56A8C">
      <w:r>
        <w:t xml:space="preserve">Расходы на модернизацию, реконструкцию и техническое перевооружение теперь можно учитывать не только по основным средствам, но и по нематериальным активам (ст. 346.16 НК РФ). Для IT-компаний и бизнеса с интеллектуальной собственностью - расширение базы </w:t>
      </w:r>
      <w:proofErr w:type="spellStart"/>
      <w:proofErr w:type="gramStart"/>
      <w:r>
        <w:t>расходов.Упрощенцы</w:t>
      </w:r>
      <w:proofErr w:type="spellEnd"/>
      <w:proofErr w:type="gramEnd"/>
      <w:r>
        <w:t xml:space="preserve">, ставшие плательщиками НДС, могут выбрать ставку 5%, 7% или 22%. Ключевое изменение: отказаться от пониженной ставки и перейти на 22% с правом на вычет можно уже в первые четыре квартала - а не через три года, как </w:t>
      </w:r>
      <w:proofErr w:type="spellStart"/>
      <w:proofErr w:type="gramStart"/>
      <w:r>
        <w:t>раньше.Лимит</w:t>
      </w:r>
      <w:proofErr w:type="spellEnd"/>
      <w:proofErr w:type="gramEnd"/>
      <w:r>
        <w:t xml:space="preserve"> доходов для УСН в 2026 году - 490,5 млн руб. (было 450 млн). Лимит стоимости основных средств - 218 млн руб.</w:t>
      </w:r>
    </w:p>
    <w:p w14:paraId="5337C418" w14:textId="77777777" w:rsidR="00E56A8C" w:rsidRDefault="00E56A8C" w:rsidP="00E56A8C">
      <w:r>
        <w:t>6. Четыре послабления от Минфина для МСП</w:t>
      </w:r>
    </w:p>
    <w:p w14:paraId="1D6AAD88" w14:textId="77777777" w:rsidR="00E56A8C" w:rsidRDefault="00E56A8C" w:rsidP="00E56A8C">
      <w:r>
        <w:t xml:space="preserve">В марте 2026 года Минфин внёс поправки, которые смягчают </w:t>
      </w:r>
      <w:proofErr w:type="spellStart"/>
      <w:proofErr w:type="gramStart"/>
      <w:r>
        <w:t>переход.Общепит</w:t>
      </w:r>
      <w:proofErr w:type="spellEnd"/>
      <w:proofErr w:type="gramEnd"/>
      <w:r>
        <w:t xml:space="preserve"> на УСН/ПСН освобождён от НДС с 1 апреля по 31 декабря 2026 года при невыполнении зарплатного условия. Бизнес на УСН, ставший плательщиком НДС, может уменьшить доходы на сумму уплаченного НДС с </w:t>
      </w:r>
      <w:proofErr w:type="spellStart"/>
      <w:r>
        <w:t>предоплат</w:t>
      </w:r>
      <w:proofErr w:type="spellEnd"/>
      <w:r>
        <w:t xml:space="preserve">. ИП, совмещавшие ПСН и ОСН, могут </w:t>
      </w:r>
      <w:r>
        <w:lastRenderedPageBreak/>
        <w:t>перейти на УСН до 25 апреля 2026 года - а не в конце 2025-го. Проценты по вкладам не учитываются в лимите 60 млн руб. для освобождения от НДС.</w:t>
      </w:r>
    </w:p>
    <w:p w14:paraId="208FF899" w14:textId="77777777" w:rsidR="00E56A8C" w:rsidRDefault="00E56A8C" w:rsidP="00E56A8C">
      <w:r>
        <w:t>7. Страховые взносы - сохранение льгот для производства</w:t>
      </w:r>
    </w:p>
    <w:p w14:paraId="4E40D647" w14:textId="77777777" w:rsidR="00E56A8C" w:rsidRDefault="00E56A8C" w:rsidP="00E56A8C">
      <w:r>
        <w:t xml:space="preserve">МСП из обрабатывающих производств сохраняют тариф 7,6% с выплат свыше 1,5 МРОТ - самая низкая ставка среди всех МСП. Минфин предлагает убрать условие о 70% доходов от основного вида деятельности и разрешить суммировать доходы от нескольких видов деятельности из перечней </w:t>
      </w:r>
      <w:proofErr w:type="spellStart"/>
      <w:proofErr w:type="gramStart"/>
      <w:r>
        <w:t>правительства.Для</w:t>
      </w:r>
      <w:proofErr w:type="spellEnd"/>
      <w:proofErr w:type="gramEnd"/>
      <w:r>
        <w:t xml:space="preserve"> радиоэлектронной промышленности возвращена ставка 7,6% в пределах базы и 0% сверх неё.</w:t>
      </w:r>
    </w:p>
    <w:p w14:paraId="286953B0" w14:textId="77777777" w:rsidR="00E56A8C" w:rsidRDefault="00E56A8C" w:rsidP="00E56A8C">
      <w:r>
        <w:t>8. Налог на прибыль - инвестиционный вычет и перенос убытков</w:t>
      </w:r>
    </w:p>
    <w:p w14:paraId="6BBC3E02" w14:textId="77777777" w:rsidR="00E56A8C" w:rsidRDefault="00E56A8C" w:rsidP="00E56A8C">
      <w:r>
        <w:t xml:space="preserve">Федеральный инвестиционный вычет позволяет уменьшить налог на прибыль в федеральный бюджет на 3% при инвестировании в развитие производства. С 2026 года регионы также могут устанавливать собственный инвестиционный вычет. Два уровня вычетов - федеральный и </w:t>
      </w:r>
      <w:proofErr w:type="spellStart"/>
      <w:proofErr w:type="gramStart"/>
      <w:r>
        <w:t>региональный.Перенос</w:t>
      </w:r>
      <w:proofErr w:type="spellEnd"/>
      <w:proofErr w:type="gramEnd"/>
      <w:r>
        <w:t xml:space="preserve"> убытков прошлых лет продлён до 31.12.2030. Правило "50% от базы" сохраняется.IT-компании платят налог на прибыль по ставке 5% вместо 25% и освобождены от НДС при продаже ПО из реестра российского софта.</w:t>
      </w:r>
    </w:p>
    <w:p w14:paraId="2FA3BFF9" w14:textId="77777777" w:rsidR="00E56A8C" w:rsidRDefault="00E56A8C" w:rsidP="00E56A8C">
      <w:r>
        <w:t>9. НДС - туроператоры и общепит</w:t>
      </w:r>
    </w:p>
    <w:p w14:paraId="380886DA" w14:textId="77777777" w:rsidR="00E56A8C" w:rsidRDefault="00E56A8C" w:rsidP="00E56A8C">
      <w:r>
        <w:t>Освобождение от НДС для туроператоров внутреннего и въездного туризма продлено до конца 2030 года (ранее - до 30 июня 2027 года). Временное освобождение общепита на УСН/ПСН - с апреля по декабрь 2026 года.</w:t>
      </w:r>
    </w:p>
    <w:p w14:paraId="3A2A3967" w14:textId="77777777" w:rsidR="00E56A8C" w:rsidRDefault="00E56A8C" w:rsidP="00E56A8C">
      <w:r>
        <w:t xml:space="preserve">10. </w:t>
      </w:r>
      <w:proofErr w:type="spellStart"/>
      <w:r>
        <w:t>Самозанятые</w:t>
      </w:r>
      <w:proofErr w:type="spellEnd"/>
      <w:r>
        <w:t xml:space="preserve"> - без изменений</w:t>
      </w:r>
    </w:p>
    <w:p w14:paraId="00E906F4" w14:textId="77777777" w:rsidR="00E56A8C" w:rsidRDefault="00E56A8C" w:rsidP="00E56A8C">
      <w:r>
        <w:t xml:space="preserve">Ставки НПД остались прежними: 4% при работе с физлицами, 6% - с </w:t>
      </w:r>
      <w:proofErr w:type="spellStart"/>
      <w:r>
        <w:t>юрлицами</w:t>
      </w:r>
      <w:proofErr w:type="spellEnd"/>
      <w:r>
        <w:t xml:space="preserve">. Лимит дохода - 2,4 млн руб. в год. Режим продлён до конца 2028 года. Для 11+ миллионов </w:t>
      </w:r>
      <w:proofErr w:type="spellStart"/>
      <w:r>
        <w:t>самозанятых</w:t>
      </w:r>
      <w:proofErr w:type="spellEnd"/>
      <w:r>
        <w:t xml:space="preserve"> - стабильность в условиях масштабной реформы.</w:t>
      </w:r>
    </w:p>
    <w:p w14:paraId="06BC6CA7" w14:textId="77777777" w:rsidR="00E56A8C" w:rsidRDefault="00E56A8C" w:rsidP="00E56A8C">
      <w:r>
        <w:t>11. АУСН - 70 регионов, ноль деклараций</w:t>
      </w:r>
    </w:p>
    <w:p w14:paraId="05A0E404" w14:textId="77777777" w:rsidR="00E56A8C" w:rsidRDefault="00E56A8C" w:rsidP="00E56A8C">
      <w:r>
        <w:t xml:space="preserve">Автоматизированная упрощённая система налогообложения расширилась до 70 регионов. ФНС самостоятельно рассчитывает налоги по данным банков и касс. Лимит доходов - 60 млн руб., максимум 5 сотрудников. Декларации не сдаются, страховые взносы за сотрудников не уплачиваются (кроме 2 040 руб./год на травматизм). Для </w:t>
      </w:r>
      <w:proofErr w:type="spellStart"/>
      <w:r>
        <w:t>микробизнеса</w:t>
      </w:r>
      <w:proofErr w:type="spellEnd"/>
      <w:r>
        <w:t xml:space="preserve"> - оптимальный вариант.</w:t>
      </w:r>
    </w:p>
    <w:p w14:paraId="085825EA" w14:textId="77777777" w:rsidR="00E56A8C" w:rsidRDefault="00E56A8C" w:rsidP="00E56A8C">
      <w:r>
        <w:t>12. Амнистия дробления бизнеса</w:t>
      </w:r>
    </w:p>
    <w:p w14:paraId="38B34389" w14:textId="77777777" w:rsidR="00E56A8C" w:rsidRDefault="00E56A8C" w:rsidP="00E56A8C">
      <w:r>
        <w:t>Компании, добровольно отказавшиеся от схемы дробления с 1 января 2025 года, получают списание всех доначислений за 2022-2024 годы - налоги, пени, штрафы. ФНС выпустила подробные разъяснения (письмо от 18.10.2024). Главное условие - реальный отказ от дробления. Для бизнеса, который годами работал в серой зоне, - возможность легализоваться без катастрофических последствий.</w:t>
      </w:r>
    </w:p>
    <w:p w14:paraId="50329F78" w14:textId="77777777" w:rsidR="00E56A8C" w:rsidRDefault="00E56A8C" w:rsidP="00E56A8C">
      <w:r>
        <w:t>13. Бухучёт - ФСБУ 14/2022 по нематериальным активам</w:t>
      </w:r>
    </w:p>
    <w:p w14:paraId="411CA5C5" w14:textId="77777777" w:rsidR="00E56A8C" w:rsidRDefault="00E56A8C" w:rsidP="00E56A8C">
      <w:r>
        <w:t xml:space="preserve">С 2026 года все организации (кроме бюджетных) обязаны применять ФСБУ 14/2022 для учёта НМА. Стандарт заменяет устаревшее ПБУ 14/2007 и вносит ясность: чёткие критерии отнесения к НМА, амортизация с даты принятия к учёту (а не с 1-го числа </w:t>
      </w:r>
      <w:r>
        <w:lastRenderedPageBreak/>
        <w:t>следующего месяца), расширенный перечень НМА (лицензии, франшизы, права на РИД), возможность переоценки по справедливой стоимости.</w:t>
      </w:r>
    </w:p>
    <w:p w14:paraId="031054FB" w14:textId="77777777" w:rsidR="00E56A8C" w:rsidRDefault="00E56A8C" w:rsidP="00E56A8C">
      <w:r>
        <w:t>Бонус: МРОТ - 27 093 руб.</w:t>
      </w:r>
    </w:p>
    <w:p w14:paraId="2498CF91" w14:textId="77777777" w:rsidR="00E56A8C" w:rsidRDefault="00E56A8C" w:rsidP="00E56A8C">
      <w:r>
        <w:t>С 1 января 2026 года МРОТ составляет 27 093 руб. Повышение затронуло 4,5 млн человек. Рост минимальных зарплат, больничных, декретных и пособий, привязанных к МРОТ.</w:t>
      </w:r>
    </w:p>
    <w:p w14:paraId="155FB1DE" w14:textId="77777777" w:rsidR="00E56A8C" w:rsidRDefault="00E56A8C" w:rsidP="00E56A8C">
      <w:r>
        <w:t>Резюме</w:t>
      </w:r>
    </w:p>
    <w:p w14:paraId="13374102" w14:textId="77777777" w:rsidR="00E56A8C" w:rsidRDefault="00E56A8C" w:rsidP="00E56A8C">
      <w:r>
        <w:t xml:space="preserve">Налоговая реформа 2026 года - это не только ужесточение. В массиве изменений есть реальные инструменты: семейная выплата, удвоенные вычеты, амнистия дробления, расширение АУСН, инвестиционные вычеты, сохранение льгот для производства и IT. Задача предпринимателя - знать о них и </w:t>
      </w:r>
      <w:proofErr w:type="spellStart"/>
      <w:proofErr w:type="gramStart"/>
      <w:r>
        <w:t>использовать.Не</w:t>
      </w:r>
      <w:proofErr w:type="spellEnd"/>
      <w:proofErr w:type="gramEnd"/>
      <w:r>
        <w:t xml:space="preserve"> паниковать, а считать. Моделировать сценарии. Использовать все доступные льготы. Хороший бухгалтер - это не тот, кто платит меньше налогов, а тот, кто не платит лишних. Евгений Сивков, налоговый консультант</w:t>
      </w:r>
    </w:p>
    <w:p w14:paraId="49C59569" w14:textId="77777777" w:rsidR="00E56A8C" w:rsidRDefault="00E56A8C" w:rsidP="00E56A8C">
      <w:r>
        <w:t>Евгений Сивков</w:t>
      </w:r>
    </w:p>
    <w:p w14:paraId="14C438F9" w14:textId="7ACADAA3" w:rsidR="00E56A8C" w:rsidRPr="00C61E9A" w:rsidRDefault="000D71EB" w:rsidP="00E56A8C">
      <w:hyperlink r:id="rId47" w:history="1">
        <w:r w:rsidR="00E56A8C" w:rsidRPr="00C91C33">
          <w:rPr>
            <w:rStyle w:val="a3"/>
          </w:rPr>
          <w:t>https://spark.ru/user/267867/blog/309333/nalogi-2026-13-izmenenij-kotorie-rabotayut-v-polzu-biznesa</w:t>
        </w:r>
      </w:hyperlink>
      <w:r w:rsidR="00E56A8C">
        <w:t xml:space="preserve"> </w:t>
      </w:r>
    </w:p>
    <w:p w14:paraId="5F9BAF33" w14:textId="6DC9C945" w:rsidR="00D246EB" w:rsidRPr="009171B7" w:rsidRDefault="00D246EB" w:rsidP="00D246EB">
      <w:pPr>
        <w:pStyle w:val="2"/>
      </w:pPr>
      <w:bookmarkStart w:id="145" w:name="_Toc223591182"/>
      <w:r w:rsidRPr="009171B7">
        <w:t xml:space="preserve">МК, 04.03.2026, Соискатели старше 50-55 лет могут составить значительную конкуренцию </w:t>
      </w:r>
      <w:proofErr w:type="spellStart"/>
      <w:r w:rsidRPr="009171B7">
        <w:t>зумерам</w:t>
      </w:r>
      <w:proofErr w:type="spellEnd"/>
      <w:r w:rsidRPr="009171B7">
        <w:t xml:space="preserve"> на ряде должностей</w:t>
      </w:r>
      <w:bookmarkEnd w:id="145"/>
    </w:p>
    <w:p w14:paraId="729D30FC" w14:textId="77777777" w:rsidR="00D246EB" w:rsidRPr="009171B7" w:rsidRDefault="00D246EB" w:rsidP="00D246EB">
      <w:pPr>
        <w:pStyle w:val="3"/>
      </w:pPr>
      <w:bookmarkStart w:id="146" w:name="_Toc223591183"/>
      <w:r w:rsidRPr="009171B7">
        <w:t xml:space="preserve">У работников старшего возраста - выше 50-55 лет - есть все шансы заменить на некоторых должностях </w:t>
      </w:r>
      <w:proofErr w:type="spellStart"/>
      <w:r w:rsidRPr="009171B7">
        <w:t>зумеров</w:t>
      </w:r>
      <w:proofErr w:type="spellEnd"/>
      <w:r w:rsidRPr="009171B7">
        <w:t xml:space="preserve">. Такую мысль высказали на прошедшем в Краснодаре круглом столе ряд экспертов. «К 2032 году прогнозируется сокращение численности наиболее активных групп (это 30-44 года) при росте доли молодежи 15-29 лет и </w:t>
      </w:r>
      <w:proofErr w:type="spellStart"/>
      <w:r w:rsidRPr="009171B7">
        <w:t>предпенсионеров</w:t>
      </w:r>
      <w:proofErr w:type="spellEnd"/>
      <w:r w:rsidRPr="009171B7">
        <w:t xml:space="preserve"> 55-59 лет», - рассказала о тенденции </w:t>
      </w:r>
      <w:proofErr w:type="spellStart"/>
      <w:r w:rsidRPr="009171B7">
        <w:t>и.о</w:t>
      </w:r>
      <w:proofErr w:type="spellEnd"/>
      <w:r w:rsidRPr="009171B7">
        <w:t xml:space="preserve">. замминистра труда и социального развития Краснодарского края Наталья </w:t>
      </w:r>
      <w:proofErr w:type="spellStart"/>
      <w:r w:rsidRPr="009171B7">
        <w:t>Худжина</w:t>
      </w:r>
      <w:proofErr w:type="spellEnd"/>
      <w:r w:rsidRPr="009171B7">
        <w:t>. Она также отметила, что целый ряд госпрограмм работает для того, чтобы помочь старшим соискателям адаптироваться на рынке труда. Основным препятствием для себя они обычно называют высокую стоимость обучения и цифровой барьер.</w:t>
      </w:r>
      <w:bookmarkEnd w:id="146"/>
    </w:p>
    <w:p w14:paraId="136D1E3F" w14:textId="77777777" w:rsidR="00D246EB" w:rsidRPr="009171B7" w:rsidRDefault="00D246EB" w:rsidP="00D246EB">
      <w:r w:rsidRPr="009171B7">
        <w:t>В регионе существуют как государственные программы по переобучению, так и организованные некоммерческими организациями. В частности, президент фонда «Академия возможностей» Яна Храповицкая отметила, что у них переобучение происходит за счёт социально ответственных партнёров и является бесплатным как для соискателей, так и для организаций, которым эти кадры готовятся. Она притом видит целый ряд преимуществ у работников «серебряного возраста» перед молодёжью.</w:t>
      </w:r>
    </w:p>
    <w:p w14:paraId="5C2E2389" w14:textId="77777777" w:rsidR="00D246EB" w:rsidRPr="009171B7" w:rsidRDefault="00D246EB" w:rsidP="00D246EB">
      <w:r w:rsidRPr="009171B7">
        <w:t>«Это уникальный сплав. Люди воспитывались при Советском Союзе. Пионеры, комсомольцы, которых учили, например, держать слово, что труд облагораживает людей, что нельзя подвести команду. И они привыкли так жить. Они никогда не уйдут среди рабочего дня, написав, что загрустили и не хочется работать», - заявила она.</w:t>
      </w:r>
    </w:p>
    <w:p w14:paraId="71163800" w14:textId="77777777" w:rsidR="00D246EB" w:rsidRPr="009171B7" w:rsidRDefault="00D246EB" w:rsidP="00D246EB">
      <w:r w:rsidRPr="009171B7">
        <w:lastRenderedPageBreak/>
        <w:t xml:space="preserve">Интерес к сотрудникам более старшего возраста отметили как представители бизнеса, так и госструктур: «Не рассматривает сегодня работодатель, 50 тебе или 55 лет - либо условные 20. Сейчас смотрят на главное - можешь ли ты выполнять те функции, которые тебе даются», - заметил начальник управления занятости населения регионального </w:t>
      </w:r>
      <w:proofErr w:type="spellStart"/>
      <w:r w:rsidRPr="009171B7">
        <w:t>минтруда</w:t>
      </w:r>
      <w:proofErr w:type="spellEnd"/>
      <w:r w:rsidRPr="009171B7">
        <w:t xml:space="preserve"> Николай Задоров.</w:t>
      </w:r>
    </w:p>
    <w:p w14:paraId="7C6F5427" w14:textId="77777777" w:rsidR="00D246EB" w:rsidRPr="009171B7" w:rsidRDefault="00D246EB" w:rsidP="00D246EB">
      <w:r w:rsidRPr="009171B7">
        <w:t xml:space="preserve">«Ситуация меняется. И многие делают акцент на категории 50+, особенно с учётом того, что пенсионный возраст у нас поднят. Возрастные барьеры сдвинулись», - подтвердила со ссылкой на специалистов по найму заместитель начальника регионального отделения Социального фонда России Анна </w:t>
      </w:r>
      <w:proofErr w:type="spellStart"/>
      <w:r w:rsidRPr="009171B7">
        <w:t>Коханчук</w:t>
      </w:r>
      <w:proofErr w:type="spellEnd"/>
      <w:r w:rsidRPr="009171B7">
        <w:t>.</w:t>
      </w:r>
    </w:p>
    <w:p w14:paraId="55FC5B9F" w14:textId="77777777" w:rsidR="00D246EB" w:rsidRPr="009171B7" w:rsidRDefault="00D246EB" w:rsidP="00D246EB">
      <w:r w:rsidRPr="009171B7">
        <w:t>Главное, в чём сошлись участники круглого стола, что это восходящий тренд: бизнес готов нанимать представителей «серебряного возраста» либо поддерживать связанные с ними социальные проекты. Притом отметили необходимость совместной работы в этом направлении: частные социальные проекты могут стать эффективным дополнением к государственным мерам поддержки.</w:t>
      </w:r>
    </w:p>
    <w:p w14:paraId="65D3993B" w14:textId="56C8AB67" w:rsidR="00D246EB" w:rsidRPr="003665FD" w:rsidRDefault="000D71EB" w:rsidP="00D246EB">
      <w:hyperlink r:id="rId48" w:history="1">
        <w:r w:rsidR="00D246EB" w:rsidRPr="00C91C33">
          <w:rPr>
            <w:rStyle w:val="a3"/>
            <w:lang w:val="en-US"/>
          </w:rPr>
          <w:t>https</w:t>
        </w:r>
        <w:r w:rsidR="00D246EB" w:rsidRPr="009171B7">
          <w:rPr>
            <w:rStyle w:val="a3"/>
          </w:rPr>
          <w:t>://</w:t>
        </w:r>
        <w:proofErr w:type="spellStart"/>
        <w:r w:rsidR="00D246EB" w:rsidRPr="00C91C33">
          <w:rPr>
            <w:rStyle w:val="a3"/>
            <w:lang w:val="en-US"/>
          </w:rPr>
          <w:t>sochi</w:t>
        </w:r>
        <w:proofErr w:type="spellEnd"/>
        <w:r w:rsidR="00D246EB" w:rsidRPr="009171B7">
          <w:rPr>
            <w:rStyle w:val="a3"/>
          </w:rPr>
          <w:t>.</w:t>
        </w:r>
        <w:proofErr w:type="spellStart"/>
        <w:r w:rsidR="00D246EB" w:rsidRPr="00C91C33">
          <w:rPr>
            <w:rStyle w:val="a3"/>
            <w:lang w:val="en-US"/>
          </w:rPr>
          <w:t>mk</w:t>
        </w:r>
        <w:proofErr w:type="spellEnd"/>
        <w:r w:rsidR="00D246EB" w:rsidRPr="009171B7">
          <w:rPr>
            <w:rStyle w:val="a3"/>
          </w:rPr>
          <w:t>.</w:t>
        </w:r>
        <w:proofErr w:type="spellStart"/>
        <w:r w:rsidR="00D246EB" w:rsidRPr="00C91C33">
          <w:rPr>
            <w:rStyle w:val="a3"/>
            <w:lang w:val="en-US"/>
          </w:rPr>
          <w:t>ru</w:t>
        </w:r>
        <w:proofErr w:type="spellEnd"/>
        <w:r w:rsidR="00D246EB" w:rsidRPr="009171B7">
          <w:rPr>
            <w:rStyle w:val="a3"/>
          </w:rPr>
          <w:t>/</w:t>
        </w:r>
        <w:r w:rsidR="00D246EB" w:rsidRPr="00C91C33">
          <w:rPr>
            <w:rStyle w:val="a3"/>
            <w:lang w:val="en-US"/>
          </w:rPr>
          <w:t>social</w:t>
        </w:r>
        <w:r w:rsidR="00D246EB" w:rsidRPr="009171B7">
          <w:rPr>
            <w:rStyle w:val="a3"/>
          </w:rPr>
          <w:t>/2026/03/04/</w:t>
        </w:r>
        <w:proofErr w:type="spellStart"/>
        <w:r w:rsidR="00D246EB" w:rsidRPr="00C91C33">
          <w:rPr>
            <w:rStyle w:val="a3"/>
            <w:lang w:val="en-US"/>
          </w:rPr>
          <w:t>soiskateli</w:t>
        </w:r>
        <w:proofErr w:type="spellEnd"/>
        <w:r w:rsidR="00D246EB" w:rsidRPr="009171B7">
          <w:rPr>
            <w:rStyle w:val="a3"/>
          </w:rPr>
          <w:t>-</w:t>
        </w:r>
        <w:proofErr w:type="spellStart"/>
        <w:r w:rsidR="00D246EB" w:rsidRPr="00C91C33">
          <w:rPr>
            <w:rStyle w:val="a3"/>
            <w:lang w:val="en-US"/>
          </w:rPr>
          <w:t>starshe</w:t>
        </w:r>
        <w:proofErr w:type="spellEnd"/>
        <w:r w:rsidR="00D246EB" w:rsidRPr="009171B7">
          <w:rPr>
            <w:rStyle w:val="a3"/>
          </w:rPr>
          <w:t>-5055-</w:t>
        </w:r>
        <w:r w:rsidR="00D246EB" w:rsidRPr="00C91C33">
          <w:rPr>
            <w:rStyle w:val="a3"/>
            <w:lang w:val="en-US"/>
          </w:rPr>
          <w:t>let</w:t>
        </w:r>
        <w:r w:rsidR="00D246EB" w:rsidRPr="009171B7">
          <w:rPr>
            <w:rStyle w:val="a3"/>
          </w:rPr>
          <w:t>-</w:t>
        </w:r>
        <w:proofErr w:type="spellStart"/>
        <w:r w:rsidR="00D246EB" w:rsidRPr="00C91C33">
          <w:rPr>
            <w:rStyle w:val="a3"/>
            <w:lang w:val="en-US"/>
          </w:rPr>
          <w:t>mogut</w:t>
        </w:r>
        <w:proofErr w:type="spellEnd"/>
        <w:r w:rsidR="00D246EB" w:rsidRPr="009171B7">
          <w:rPr>
            <w:rStyle w:val="a3"/>
          </w:rPr>
          <w:t>-</w:t>
        </w:r>
        <w:proofErr w:type="spellStart"/>
        <w:r w:rsidR="00D246EB" w:rsidRPr="00C91C33">
          <w:rPr>
            <w:rStyle w:val="a3"/>
            <w:lang w:val="en-US"/>
          </w:rPr>
          <w:t>sostavit</w:t>
        </w:r>
        <w:proofErr w:type="spellEnd"/>
        <w:r w:rsidR="00D246EB" w:rsidRPr="009171B7">
          <w:rPr>
            <w:rStyle w:val="a3"/>
          </w:rPr>
          <w:t>-</w:t>
        </w:r>
        <w:proofErr w:type="spellStart"/>
        <w:r w:rsidR="00D246EB" w:rsidRPr="00C91C33">
          <w:rPr>
            <w:rStyle w:val="a3"/>
            <w:lang w:val="en-US"/>
          </w:rPr>
          <w:t>znachitelnuyu</w:t>
        </w:r>
        <w:proofErr w:type="spellEnd"/>
        <w:r w:rsidR="00D246EB" w:rsidRPr="009171B7">
          <w:rPr>
            <w:rStyle w:val="a3"/>
          </w:rPr>
          <w:t>-</w:t>
        </w:r>
        <w:proofErr w:type="spellStart"/>
        <w:r w:rsidR="00D246EB" w:rsidRPr="00C91C33">
          <w:rPr>
            <w:rStyle w:val="a3"/>
            <w:lang w:val="en-US"/>
          </w:rPr>
          <w:t>konkurenciyu</w:t>
        </w:r>
        <w:proofErr w:type="spellEnd"/>
        <w:r w:rsidR="00D246EB" w:rsidRPr="009171B7">
          <w:rPr>
            <w:rStyle w:val="a3"/>
          </w:rPr>
          <w:t>-</w:t>
        </w:r>
        <w:proofErr w:type="spellStart"/>
        <w:r w:rsidR="00D246EB" w:rsidRPr="00C91C33">
          <w:rPr>
            <w:rStyle w:val="a3"/>
            <w:lang w:val="en-US"/>
          </w:rPr>
          <w:t>zumeram</w:t>
        </w:r>
        <w:proofErr w:type="spellEnd"/>
        <w:r w:rsidR="00D246EB" w:rsidRPr="009171B7">
          <w:rPr>
            <w:rStyle w:val="a3"/>
          </w:rPr>
          <w:t>-</w:t>
        </w:r>
        <w:proofErr w:type="spellStart"/>
        <w:r w:rsidR="00D246EB" w:rsidRPr="00C91C33">
          <w:rPr>
            <w:rStyle w:val="a3"/>
            <w:lang w:val="en-US"/>
          </w:rPr>
          <w:t>na</w:t>
        </w:r>
        <w:proofErr w:type="spellEnd"/>
        <w:r w:rsidR="00D246EB" w:rsidRPr="009171B7">
          <w:rPr>
            <w:rStyle w:val="a3"/>
          </w:rPr>
          <w:t>-</w:t>
        </w:r>
        <w:proofErr w:type="spellStart"/>
        <w:r w:rsidR="00D246EB" w:rsidRPr="00C91C33">
          <w:rPr>
            <w:rStyle w:val="a3"/>
            <w:lang w:val="en-US"/>
          </w:rPr>
          <w:t>ryade</w:t>
        </w:r>
        <w:proofErr w:type="spellEnd"/>
        <w:r w:rsidR="00D246EB" w:rsidRPr="009171B7">
          <w:rPr>
            <w:rStyle w:val="a3"/>
          </w:rPr>
          <w:t>-</w:t>
        </w:r>
        <w:proofErr w:type="spellStart"/>
        <w:r w:rsidR="00D246EB" w:rsidRPr="00C91C33">
          <w:rPr>
            <w:rStyle w:val="a3"/>
            <w:lang w:val="en-US"/>
          </w:rPr>
          <w:t>dolzhnostey</w:t>
        </w:r>
        <w:proofErr w:type="spellEnd"/>
        <w:r w:rsidR="00D246EB" w:rsidRPr="009171B7">
          <w:rPr>
            <w:rStyle w:val="a3"/>
          </w:rPr>
          <w:t>.</w:t>
        </w:r>
        <w:r w:rsidR="00D246EB" w:rsidRPr="00C91C33">
          <w:rPr>
            <w:rStyle w:val="a3"/>
            <w:lang w:val="en-US"/>
          </w:rPr>
          <w:t>html</w:t>
        </w:r>
      </w:hyperlink>
      <w:r w:rsidR="00D246EB" w:rsidRPr="009171B7">
        <w:t xml:space="preserve"> </w:t>
      </w:r>
    </w:p>
    <w:p w14:paraId="441F1C00" w14:textId="4F590DE8" w:rsidR="00C61E9A" w:rsidRPr="00C61E9A" w:rsidRDefault="00C61E9A" w:rsidP="00C61E9A">
      <w:pPr>
        <w:pStyle w:val="2"/>
      </w:pPr>
      <w:bookmarkStart w:id="147" w:name="_Toc223591184"/>
      <w:r w:rsidRPr="00C61E9A">
        <w:t>Главбух, 04.03.2026, Средняя зарплата по регионам РФ в 2026 году: таблица новых сумм</w:t>
      </w:r>
      <w:bookmarkEnd w:id="147"/>
    </w:p>
    <w:p w14:paraId="7B2D6BB4" w14:textId="77777777" w:rsidR="00C61E9A" w:rsidRPr="00C61E9A" w:rsidRDefault="00C61E9A" w:rsidP="00C61E9A">
      <w:pPr>
        <w:pStyle w:val="3"/>
      </w:pPr>
      <w:bookmarkStart w:id="148" w:name="_Toc223591185"/>
      <w:r w:rsidRPr="00C61E9A">
        <w:t>Средняя зарплата в РФ в 2026 году - 98 193 руб. Узнайте, грозит ли вашей компании проверка из-за низкой зарплаты. Наша таблица с уровнем средней зарплаты по всем регионам России от Росстата поможет оценить риски ФНС и избежать вызова на комиссию.</w:t>
      </w:r>
      <w:bookmarkEnd w:id="148"/>
    </w:p>
    <w:p w14:paraId="1889C08B" w14:textId="77777777" w:rsidR="00C61E9A" w:rsidRPr="00C61E9A" w:rsidRDefault="00C61E9A" w:rsidP="00C61E9A">
      <w:r w:rsidRPr="00C61E9A">
        <w:t>Официальная средняя зарплата в России в 2026 году: опубликован новый размер</w:t>
      </w:r>
    </w:p>
    <w:p w14:paraId="77AC5A67" w14:textId="77777777" w:rsidR="00C61E9A" w:rsidRPr="00C61E9A" w:rsidRDefault="00C61E9A" w:rsidP="00C61E9A">
      <w:r w:rsidRPr="00C61E9A">
        <w:t>Средняя заработная плата в России в 2026 году составляет 98 193 руб. в месяц. Это среднемесячная номинальная начисленная заработная плата работников организаций в целом по экономике России.</w:t>
      </w:r>
    </w:p>
    <w:p w14:paraId="2A150D51" w14:textId="77777777" w:rsidR="00C61E9A" w:rsidRPr="00C61E9A" w:rsidRDefault="00C61E9A" w:rsidP="00C61E9A">
      <w:r w:rsidRPr="00C61E9A">
        <w:t xml:space="preserve">Росстат постоянно собирает данные о среднемесячной номинальной зарплате по России. Вот как менялся этот показатель в течение прошлого года:  </w:t>
      </w:r>
    </w:p>
    <w:p w14:paraId="04ACA57C" w14:textId="77777777" w:rsidR="00C61E9A" w:rsidRPr="00C61E9A" w:rsidRDefault="00C61E9A" w:rsidP="00C61E9A">
      <w:r w:rsidRPr="00C61E9A">
        <w:t>•</w:t>
      </w:r>
      <w:r w:rsidRPr="00C61E9A">
        <w:tab/>
        <w:t xml:space="preserve">январь - 88981 руб.; </w:t>
      </w:r>
    </w:p>
    <w:p w14:paraId="6E553D57" w14:textId="77777777" w:rsidR="00C61E9A" w:rsidRPr="00C61E9A" w:rsidRDefault="00C61E9A" w:rsidP="00C61E9A">
      <w:r w:rsidRPr="00C61E9A">
        <w:t>•</w:t>
      </w:r>
      <w:r w:rsidRPr="00C61E9A">
        <w:tab/>
        <w:t xml:space="preserve">февраль - 89646 руб.; </w:t>
      </w:r>
    </w:p>
    <w:p w14:paraId="571F34C1" w14:textId="77777777" w:rsidR="00C61E9A" w:rsidRPr="00C61E9A" w:rsidRDefault="00C61E9A" w:rsidP="00C61E9A">
      <w:r w:rsidRPr="00C61E9A">
        <w:t>•</w:t>
      </w:r>
      <w:r w:rsidRPr="00C61E9A">
        <w:tab/>
        <w:t xml:space="preserve">март - 97645 руб.; </w:t>
      </w:r>
    </w:p>
    <w:p w14:paraId="6337BD95" w14:textId="77777777" w:rsidR="00C61E9A" w:rsidRPr="00C61E9A" w:rsidRDefault="00C61E9A" w:rsidP="00C61E9A">
      <w:r w:rsidRPr="00C61E9A">
        <w:t>•</w:t>
      </w:r>
      <w:r w:rsidRPr="00C61E9A">
        <w:tab/>
        <w:t xml:space="preserve">апрель - 97375 руб.; </w:t>
      </w:r>
    </w:p>
    <w:p w14:paraId="6C70E56D" w14:textId="77777777" w:rsidR="00C61E9A" w:rsidRPr="00C61E9A" w:rsidRDefault="00C61E9A" w:rsidP="00C61E9A">
      <w:r w:rsidRPr="00C61E9A">
        <w:t>•</w:t>
      </w:r>
      <w:r w:rsidRPr="00C61E9A">
        <w:tab/>
        <w:t xml:space="preserve">май - 99422 руб.; </w:t>
      </w:r>
    </w:p>
    <w:p w14:paraId="421E80CE" w14:textId="77777777" w:rsidR="00C61E9A" w:rsidRPr="00C61E9A" w:rsidRDefault="00C61E9A" w:rsidP="00C61E9A">
      <w:r w:rsidRPr="00C61E9A">
        <w:t>•</w:t>
      </w:r>
      <w:r w:rsidRPr="00C61E9A">
        <w:tab/>
        <w:t xml:space="preserve">июнь - 103183 руб.; </w:t>
      </w:r>
    </w:p>
    <w:p w14:paraId="27404291" w14:textId="77777777" w:rsidR="00C61E9A" w:rsidRPr="00C61E9A" w:rsidRDefault="00C61E9A" w:rsidP="00C61E9A">
      <w:r w:rsidRPr="00C61E9A">
        <w:t>•</w:t>
      </w:r>
      <w:r w:rsidRPr="00C61E9A">
        <w:tab/>
        <w:t xml:space="preserve">июль - 99305 руб.; </w:t>
      </w:r>
    </w:p>
    <w:p w14:paraId="67468572" w14:textId="77777777" w:rsidR="00C61E9A" w:rsidRPr="00C61E9A" w:rsidRDefault="00C61E9A" w:rsidP="00C61E9A">
      <w:r w:rsidRPr="00C61E9A">
        <w:t>•</w:t>
      </w:r>
      <w:r w:rsidRPr="00C61E9A">
        <w:tab/>
        <w:t xml:space="preserve">август - 92866 руб.; </w:t>
      </w:r>
    </w:p>
    <w:p w14:paraId="177A5F47" w14:textId="77777777" w:rsidR="00C61E9A" w:rsidRPr="00C61E9A" w:rsidRDefault="00C61E9A" w:rsidP="00C61E9A">
      <w:r w:rsidRPr="00C61E9A">
        <w:t>•</w:t>
      </w:r>
      <w:r w:rsidRPr="00C61E9A">
        <w:tab/>
        <w:t xml:space="preserve">сентябрь - 96182 руб.; </w:t>
      </w:r>
    </w:p>
    <w:p w14:paraId="4CA5D9BE" w14:textId="77777777" w:rsidR="00C61E9A" w:rsidRPr="00C61E9A" w:rsidRDefault="00C61E9A" w:rsidP="00C61E9A">
      <w:r w:rsidRPr="00C61E9A">
        <w:t>•</w:t>
      </w:r>
      <w:r w:rsidRPr="00C61E9A">
        <w:tab/>
        <w:t xml:space="preserve">октябрь - 99707 руб.; </w:t>
      </w:r>
    </w:p>
    <w:p w14:paraId="119F3BA6" w14:textId="77777777" w:rsidR="00C61E9A" w:rsidRPr="00C61E9A" w:rsidRDefault="00C61E9A" w:rsidP="00C61E9A">
      <w:r w:rsidRPr="00C61E9A">
        <w:lastRenderedPageBreak/>
        <w:t>•</w:t>
      </w:r>
      <w:r w:rsidRPr="00C61E9A">
        <w:tab/>
        <w:t xml:space="preserve">ноябрь - 98193 руб. </w:t>
      </w:r>
    </w:p>
    <w:p w14:paraId="24BFF8D1" w14:textId="77777777" w:rsidR="00C61E9A" w:rsidRPr="00C61E9A" w:rsidRDefault="00C61E9A" w:rsidP="00C61E9A">
      <w:r w:rsidRPr="00C61E9A">
        <w:t>Как видно, июнь стал самым высокооплачиваемым месяцем.</w:t>
      </w:r>
    </w:p>
    <w:p w14:paraId="73B93587" w14:textId="77777777" w:rsidR="00C61E9A" w:rsidRPr="00C61E9A" w:rsidRDefault="00C61E9A" w:rsidP="00C61E9A">
      <w:r w:rsidRPr="00C61E9A">
        <w:t>Показатель отражает усредненное значение по всем регионам и видам экономической деятельности и используется как базовый ориентир при аналитике и межрегиональных сравнениях. При этом для практических расчетов бухгалтеру важно учитывать именно региональные и отраслевые значения.</w:t>
      </w:r>
    </w:p>
    <w:p w14:paraId="23476073" w14:textId="77777777" w:rsidR="00C61E9A" w:rsidRPr="00C61E9A" w:rsidRDefault="00C61E9A" w:rsidP="00C61E9A">
      <w:r w:rsidRPr="00C61E9A">
        <w:t>Росстат рассчитывает среднюю заработную плату путем деления общего фонда начисленной зарплаты на среднесписочную численность работников организаций. В расчет включаются все начисления, предусмотренные системой оплаты труда, до удержания НДФЛ. Показатели Росстат получает в составе обязательной отчетности. Какие отчеты в статистику сдавать в 2026 году, смотрите в Системе Главбух.</w:t>
      </w:r>
    </w:p>
    <w:p w14:paraId="044BDE8B" w14:textId="77777777" w:rsidR="00C61E9A" w:rsidRPr="00C61E9A" w:rsidRDefault="00C61E9A" w:rsidP="00C61E9A">
      <w:r w:rsidRPr="00C61E9A">
        <w:t>Официальная статистика зарплат публикуется с некоторой временной задержкой и используется для макроэкономического анализа и межрегиональных сопоставлений.</w:t>
      </w:r>
    </w:p>
    <w:p w14:paraId="6DA527E6" w14:textId="77777777" w:rsidR="00C61E9A" w:rsidRPr="00C61E9A" w:rsidRDefault="00C61E9A" w:rsidP="00C61E9A">
      <w:r w:rsidRPr="00C61E9A">
        <w:t>Отметим, что средняя зарплата по региону - это статистический показатель, не имеющий ничего общего с реальными доходами граждан. Показатель называется средним, поскольку учитывает доходы граждан с высокой и низкой зарплатой. Допустим, руководитель получает ежемесячно 100 тыс. руб., а курьер - 20 тыс. руб. Их средняя зарплата составляет 60 тыс. руб., что не соответствует доходам ни одного из них.</w:t>
      </w:r>
    </w:p>
    <w:p w14:paraId="73F8A59A" w14:textId="77777777" w:rsidR="00C61E9A" w:rsidRPr="00C61E9A" w:rsidRDefault="00C61E9A" w:rsidP="00C61E9A">
      <w:r w:rsidRPr="00C61E9A">
        <w:t xml:space="preserve">В Высшей школе Главбух проходит урок с сертифицированным преподавателем 1С Алексеем Константиновым. Тема: «Как в 1С с 2026 года рассчитывать отпускные». Чтобы изучить урок, оформите </w:t>
      </w:r>
      <w:proofErr w:type="spellStart"/>
      <w:r w:rsidRPr="00C61E9A">
        <w:t>демо</w:t>
      </w:r>
      <w:proofErr w:type="spellEnd"/>
      <w:r w:rsidRPr="00C61E9A">
        <w:t>-доступ к нему на неделю и тренируйтесь в любое удобное для вас время.</w:t>
      </w:r>
    </w:p>
    <w:p w14:paraId="24F5F950" w14:textId="77777777" w:rsidR="00C61E9A" w:rsidRPr="00C61E9A" w:rsidRDefault="00C61E9A" w:rsidP="00C61E9A">
      <w:r w:rsidRPr="00C61E9A">
        <w:t>Открыть урок</w:t>
      </w:r>
    </w:p>
    <w:p w14:paraId="0B6A28FD" w14:textId="77777777" w:rsidR="00C61E9A" w:rsidRPr="00C61E9A" w:rsidRDefault="00C61E9A" w:rsidP="00C61E9A">
      <w:r w:rsidRPr="00C61E9A">
        <w:t>В справочнике Системы Главбух - перечень изменений в работе бухгалтера с 2026 года. Чтобы вы ничего не пропустили, мы постоянно обновляем таблицу с поправками. Справочник поможет быстро разобраться в новых правилах и как их применять на практике.</w:t>
      </w:r>
    </w:p>
    <w:p w14:paraId="02B32ADC" w14:textId="77777777" w:rsidR="00C61E9A" w:rsidRPr="00C61E9A" w:rsidRDefault="00C61E9A" w:rsidP="00C61E9A">
      <w:r w:rsidRPr="00C61E9A">
        <w:t>Названы самые высокооплачиваемые профессии в России: данные о зарплате на 2026 год</w:t>
      </w:r>
    </w:p>
    <w:p w14:paraId="2E7FEF33" w14:textId="77777777" w:rsidR="00C61E9A" w:rsidRPr="00C61E9A" w:rsidRDefault="00C61E9A" w:rsidP="00C61E9A">
      <w:r w:rsidRPr="00C61E9A">
        <w:t>Средняя зарплата в России достигла новых значений в 2026 году и составила чуть больше 98 тысяч рублей. Это общая начисленная сумма по всем регионам, включая НДФЛ. В каждом субъекте свое значение средней заработной платы. Размеры также зависят и от профессии.</w:t>
      </w:r>
    </w:p>
    <w:p w14:paraId="7D08309F" w14:textId="77777777" w:rsidR="00C61E9A" w:rsidRPr="00C61E9A" w:rsidRDefault="00C61E9A" w:rsidP="00C61E9A">
      <w:r w:rsidRPr="00C61E9A">
        <w:t xml:space="preserve">Список самых высокооплачиваемых профессий составил </w:t>
      </w:r>
      <w:r w:rsidRPr="00C61E9A">
        <w:rPr>
          <w:lang w:val="en-US"/>
        </w:rPr>
        <w:t>HH</w:t>
      </w:r>
      <w:r w:rsidRPr="00C61E9A">
        <w:t xml:space="preserve"> (по запросу РИА Новости). В него вошли:  </w:t>
      </w:r>
    </w:p>
    <w:p w14:paraId="3E3E4457" w14:textId="77777777" w:rsidR="00C61E9A" w:rsidRPr="00C61E9A" w:rsidRDefault="00C61E9A" w:rsidP="00C61E9A">
      <w:r w:rsidRPr="00C61E9A">
        <w:t>•</w:t>
      </w:r>
      <w:r w:rsidRPr="00C61E9A">
        <w:tab/>
        <w:t xml:space="preserve">сварщик с зарплатой 267 тысяч рублей в месяц; </w:t>
      </w:r>
    </w:p>
    <w:p w14:paraId="75D08BC1" w14:textId="77777777" w:rsidR="00C61E9A" w:rsidRPr="00C61E9A" w:rsidRDefault="00C61E9A" w:rsidP="00C61E9A">
      <w:r w:rsidRPr="00C61E9A">
        <w:t>•</w:t>
      </w:r>
      <w:r w:rsidRPr="00C61E9A">
        <w:tab/>
        <w:t>дата-</w:t>
      </w:r>
      <w:proofErr w:type="spellStart"/>
      <w:r w:rsidRPr="00C61E9A">
        <w:t>сайентист</w:t>
      </w:r>
      <w:proofErr w:type="spellEnd"/>
      <w:r w:rsidRPr="00C61E9A">
        <w:t xml:space="preserve"> с зарплатой 250 тысяч рублей; </w:t>
      </w:r>
    </w:p>
    <w:p w14:paraId="5C8E5642" w14:textId="77777777" w:rsidR="00C61E9A" w:rsidRPr="00C61E9A" w:rsidRDefault="00C61E9A" w:rsidP="00C61E9A">
      <w:r w:rsidRPr="00C61E9A">
        <w:t>•</w:t>
      </w:r>
      <w:r w:rsidRPr="00C61E9A">
        <w:tab/>
      </w:r>
      <w:r w:rsidRPr="00C61E9A">
        <w:rPr>
          <w:lang w:val="en-US"/>
        </w:rPr>
        <w:t>DevOps</w:t>
      </w:r>
      <w:r w:rsidRPr="00C61E9A">
        <w:t xml:space="preserve">-инженер с зарплатой 216 тысяч рублей. </w:t>
      </w:r>
    </w:p>
    <w:p w14:paraId="5B901870" w14:textId="77777777" w:rsidR="00C61E9A" w:rsidRPr="00C61E9A" w:rsidRDefault="00C61E9A" w:rsidP="00C61E9A">
      <w:r w:rsidRPr="00C61E9A">
        <w:t>В январе 2026 года медиана предлагаемых зарплат в вакансиях сварщиков составила 267 300 рублей, в вакансиях дата-</w:t>
      </w:r>
      <w:proofErr w:type="spellStart"/>
      <w:r w:rsidRPr="00C61E9A">
        <w:t>сайентистов</w:t>
      </w:r>
      <w:proofErr w:type="spellEnd"/>
      <w:r w:rsidRPr="00C61E9A">
        <w:t xml:space="preserve"> - 250 000 рублей, в вакансиях </w:t>
      </w:r>
      <w:r w:rsidRPr="00C61E9A">
        <w:rPr>
          <w:lang w:val="en-US"/>
        </w:rPr>
        <w:t>DevOps</w:t>
      </w:r>
      <w:r w:rsidRPr="00C61E9A">
        <w:t xml:space="preserve">-инженеров - 216 800 рублей", - сообщила директор по исследованиям </w:t>
      </w:r>
      <w:proofErr w:type="spellStart"/>
      <w:r w:rsidRPr="00C61E9A">
        <w:rPr>
          <w:lang w:val="en-US"/>
        </w:rPr>
        <w:t>hh</w:t>
      </w:r>
      <w:proofErr w:type="spellEnd"/>
      <w:r w:rsidRPr="00C61E9A">
        <w:t>.</w:t>
      </w:r>
      <w:proofErr w:type="spellStart"/>
      <w:r w:rsidRPr="00C61E9A">
        <w:rPr>
          <w:lang w:val="en-US"/>
        </w:rPr>
        <w:t>ru</w:t>
      </w:r>
      <w:proofErr w:type="spellEnd"/>
      <w:r w:rsidRPr="00C61E9A">
        <w:t xml:space="preserve"> Мария Игнатова (цитируют РИА Новости).</w:t>
      </w:r>
    </w:p>
    <w:p w14:paraId="42066132" w14:textId="77777777" w:rsidR="00C61E9A" w:rsidRPr="00C61E9A" w:rsidRDefault="00C61E9A" w:rsidP="00C61E9A">
      <w:r w:rsidRPr="00C61E9A">
        <w:lastRenderedPageBreak/>
        <w:t>Кроме того, в список вошли агенты по недвижимости (203 000 рублей) и геологи (197 900 рублей). «Предложения для этих специалистов сегодня в среднем в 2,5-3 раза выше, чем медианная предлагаемая зарплата по стране в целом - в январе она составила 81 310 рублей», - отметила Игнатова.</w:t>
      </w:r>
    </w:p>
    <w:p w14:paraId="09CB9335" w14:textId="77777777" w:rsidR="00C61E9A" w:rsidRPr="00C61E9A" w:rsidRDefault="00C61E9A" w:rsidP="00C61E9A">
      <w:r w:rsidRPr="00C61E9A">
        <w:t>Изменения с 1 марта 2026 года</w:t>
      </w:r>
    </w:p>
    <w:p w14:paraId="61DB1C23" w14:textId="77777777" w:rsidR="00C61E9A" w:rsidRPr="00C61E9A" w:rsidRDefault="00C61E9A" w:rsidP="00C61E9A">
      <w:r w:rsidRPr="00C61E9A">
        <w:t>Алименты при оформлении единого пособия с 1 марта больше не будут считать от МРОТ.</w:t>
      </w:r>
    </w:p>
    <w:p w14:paraId="2DD35A49" w14:textId="77777777" w:rsidR="00C61E9A" w:rsidRPr="00C61E9A" w:rsidRDefault="00C61E9A" w:rsidP="00C61E9A">
      <w:r w:rsidRPr="00C61E9A">
        <w:t xml:space="preserve">Ориентиром станет средняя зарплата по региону, сообщила РИА Новости доцент кафедры гражданско-правовых дисциплин РЭУ имени Г.В. Плеханова Наталья </w:t>
      </w:r>
      <w:proofErr w:type="spellStart"/>
      <w:r w:rsidRPr="00C61E9A">
        <w:t>Свечникова</w:t>
      </w:r>
      <w:proofErr w:type="spellEnd"/>
      <w:r w:rsidRPr="00C61E9A">
        <w:t>.</w:t>
      </w:r>
    </w:p>
    <w:p w14:paraId="203B67C1" w14:textId="77777777" w:rsidR="00C61E9A" w:rsidRPr="00C61E9A" w:rsidRDefault="00C61E9A" w:rsidP="00C61E9A">
      <w:r w:rsidRPr="00C61E9A">
        <w:t>"С 1 марта, когда алименты не подтверждены судебным актом, фонд будет считать их от среднемесячной номинальной начисленной зарплаты по региону", - сказала юрист.</w:t>
      </w:r>
    </w:p>
    <w:p w14:paraId="22082AA9" w14:textId="77777777" w:rsidR="00C61E9A" w:rsidRPr="00C61E9A" w:rsidRDefault="00C61E9A" w:rsidP="00C61E9A">
      <w:r w:rsidRPr="00C61E9A">
        <w:t>После нововведений сумма алиментов, учитываемая в доходе семьи, вырастет, так как средняя зарплата выше МРОТ. Более того, как указала эксперт, это может повлиять на оценку нуждаемости и на право на пособие.</w:t>
      </w:r>
    </w:p>
    <w:p w14:paraId="2E595D2D" w14:textId="77777777" w:rsidR="00C61E9A" w:rsidRPr="00C61E9A" w:rsidRDefault="00C61E9A" w:rsidP="00C61E9A">
      <w:r w:rsidRPr="00C61E9A">
        <w:t xml:space="preserve">Юрист добавила, </w:t>
      </w:r>
      <w:proofErr w:type="gramStart"/>
      <w:r w:rsidRPr="00C61E9A">
        <w:t>что</w:t>
      </w:r>
      <w:proofErr w:type="gramEnd"/>
      <w:r w:rsidRPr="00C61E9A">
        <w:t xml:space="preserve"> если алименты были оформлены через суд, в доход семьи засчитают ту сумму, которая поступает фактически. Если судебного решения нет, фонд посчитает алименты по средней зарплате в регионе - даже если по факту платили меньше или нерегулярно.</w:t>
      </w:r>
    </w:p>
    <w:p w14:paraId="355861A3" w14:textId="77777777" w:rsidR="00C61E9A" w:rsidRPr="00C61E9A" w:rsidRDefault="00C61E9A" w:rsidP="00C61E9A">
      <w:r w:rsidRPr="00C61E9A">
        <w:t>Какова реальная средняя зарплата в России?</w:t>
      </w:r>
    </w:p>
    <w:p w14:paraId="006FC6E9" w14:textId="3A96F6CA" w:rsidR="00C61E9A" w:rsidRPr="003665FD" w:rsidRDefault="00C61E9A" w:rsidP="00C61E9A">
      <w:r w:rsidRPr="00C61E9A">
        <w:t>Росстат зафиксировал среднюю зарплату по стране на уровне, близком к 100 тысячам рублей в месяц (до удержания НДФЛ). Однако эта цифра не отражает полную картину: более объективным показателем считается медианная зарплата, которая оказывается заметно ниже.</w:t>
      </w:r>
    </w:p>
    <w:p w14:paraId="5B2E82C1" w14:textId="77777777" w:rsidR="00C61E9A" w:rsidRPr="00C61E9A" w:rsidRDefault="00C61E9A" w:rsidP="00C61E9A">
      <w:r w:rsidRPr="00C61E9A">
        <w:t>Реальный уровень доходов сильно колеблется в зависимости от региона и сферы деятельности. В Москве средние зарплаты по данным Росстата превышают 160 тысяч рублей. Традиционно высокая оплата труда сохраняется в нефтедобыче и финансовом секторе. При этом бюджетники, работники образования и сферы гостеприимства (</w:t>
      </w:r>
      <w:proofErr w:type="spellStart"/>
      <w:r w:rsidRPr="00C61E9A">
        <w:rPr>
          <w:lang w:val="en-US"/>
        </w:rPr>
        <w:t>HoReCa</w:t>
      </w:r>
      <w:proofErr w:type="spellEnd"/>
      <w:r w:rsidRPr="00C61E9A">
        <w:t>) получают значительно меньше.</w:t>
      </w:r>
    </w:p>
    <w:p w14:paraId="225B031A" w14:textId="77777777" w:rsidR="00C61E9A" w:rsidRPr="00C61E9A" w:rsidRDefault="00C61E9A" w:rsidP="00C61E9A">
      <w:r w:rsidRPr="00C61E9A">
        <w:t>Чем средняя зарплата отличается от медианной</w:t>
      </w:r>
    </w:p>
    <w:p w14:paraId="1892CB59" w14:textId="77777777" w:rsidR="00C61E9A" w:rsidRPr="00C61E9A" w:rsidRDefault="00C61E9A" w:rsidP="00C61E9A">
      <w:r w:rsidRPr="00C61E9A">
        <w:t>Средняя зарплата - это усредненный показатель, который может быть искажен высокими доходами небольшой группы работников. Медианная зарплата отражает доход «серединного» работника и, как правило, ниже средней. Для налогового контроля и проверок ФНС используется именно средняя заработная плата, а не медианная.</w:t>
      </w:r>
    </w:p>
    <w:p w14:paraId="528FD312" w14:textId="77777777" w:rsidR="00C61E9A" w:rsidRPr="00C61E9A" w:rsidRDefault="00C61E9A" w:rsidP="00C61E9A">
      <w:r w:rsidRPr="00C61E9A">
        <w:t xml:space="preserve">Медианную зарплату используют для более реалистичной оценки доходов «среднего» работника, так как она, в отличие от средней арифметической, не искажается экстремально высокими или низкими зарплатами. Этот показатель лучше отражает типичный уровень доходов населения и используется:  </w:t>
      </w:r>
    </w:p>
    <w:p w14:paraId="72A14D27" w14:textId="77777777" w:rsidR="00C61E9A" w:rsidRPr="00C61E9A" w:rsidRDefault="00C61E9A" w:rsidP="00C61E9A">
      <w:r w:rsidRPr="00C61E9A">
        <w:t>•</w:t>
      </w:r>
      <w:r w:rsidRPr="00C61E9A">
        <w:tab/>
        <w:t xml:space="preserve">для социально-экономического анализа и сравнения уровня жизни; </w:t>
      </w:r>
    </w:p>
    <w:p w14:paraId="3119B56C" w14:textId="77777777" w:rsidR="00C61E9A" w:rsidRPr="00C61E9A" w:rsidRDefault="00C61E9A" w:rsidP="00C61E9A">
      <w:r w:rsidRPr="00C61E9A">
        <w:t>•</w:t>
      </w:r>
      <w:r w:rsidRPr="00C61E9A">
        <w:tab/>
        <w:t xml:space="preserve">при разработке социальной политики и госпрограмм; </w:t>
      </w:r>
    </w:p>
    <w:p w14:paraId="4251CB6C" w14:textId="77777777" w:rsidR="00C61E9A" w:rsidRPr="00C61E9A" w:rsidRDefault="00C61E9A" w:rsidP="00C61E9A">
      <w:r w:rsidRPr="00C61E9A">
        <w:t>•</w:t>
      </w:r>
      <w:r w:rsidRPr="00C61E9A">
        <w:tab/>
        <w:t xml:space="preserve">в маркетинге и бизнес-планировании для оценки платёжеспособного спроса. </w:t>
      </w:r>
    </w:p>
    <w:p w14:paraId="56F5CA3F" w14:textId="77777777" w:rsidR="00C61E9A" w:rsidRPr="00C61E9A" w:rsidRDefault="00C61E9A" w:rsidP="00C61E9A">
      <w:r w:rsidRPr="00C61E9A">
        <w:lastRenderedPageBreak/>
        <w:t>В каждом регионе может быть своя величина минимальной зарплаты - ее устанавливают субъекты России региональными соглашениями. Региональная минимальная зарплата обычно больше федерального минимума (ст. 133.1 ТК).</w:t>
      </w:r>
    </w:p>
    <w:p w14:paraId="2E5CAED3" w14:textId="77777777" w:rsidR="00C61E9A" w:rsidRPr="00C61E9A" w:rsidRDefault="00C61E9A" w:rsidP="00C61E9A">
      <w:r w:rsidRPr="00C61E9A">
        <w:t>Калачева Анна Николаевна</w:t>
      </w:r>
    </w:p>
    <w:p w14:paraId="34ABA99F" w14:textId="77777777" w:rsidR="00C61E9A" w:rsidRPr="00C61E9A" w:rsidRDefault="00C61E9A" w:rsidP="00C61E9A">
      <w:r w:rsidRPr="00C61E9A">
        <w:t>старший юрист налоговой практики юридической компании "Центральный округ"</w:t>
      </w:r>
    </w:p>
    <w:p w14:paraId="389711DA" w14:textId="77777777" w:rsidR="00C61E9A" w:rsidRPr="00C61E9A" w:rsidRDefault="00C61E9A" w:rsidP="00C61E9A">
      <w:r w:rsidRPr="00C61E9A">
        <w:t>Показатель средней зарплаты считается маркером налоговых рисков, он важен в борьбе с «серой» оплатой труда или необоснованной налоговой выгодой.</w:t>
      </w:r>
    </w:p>
    <w:p w14:paraId="1694B0EA" w14:textId="77777777" w:rsidR="00C61E9A" w:rsidRPr="00C61E9A" w:rsidRDefault="00C61E9A" w:rsidP="00C61E9A">
      <w:r w:rsidRPr="00C61E9A">
        <w:t>Но это лишь вершина айсберга. ФНС России наделена полномочиями проводить анализ финансово-хозяйственной деятельности налогоплательщика, результаты которого формируются в отдельную выписку. До 2026 года они были известны лишь самой организации или ИП и не становились «достоянием» других.</w:t>
      </w:r>
    </w:p>
    <w:p w14:paraId="6153B6E1" w14:textId="77777777" w:rsidR="00C61E9A" w:rsidRPr="00C61E9A" w:rsidRDefault="00C61E9A" w:rsidP="00C61E9A">
      <w:r w:rsidRPr="00C61E9A">
        <w:t>Ключевым изменением 2026 года является то, что теперь выписка может быть представлена не только налогоплательщику, но и иным лицам по их запросу, например, контрагентам или инвесторам. Но с существенной оговоркой - если такое право предусмотрено законом. В связи с чем результаты оценки напрямую определяют конкурентоспособность налогоплательщика, его репутацию на рынке и готовность к сотрудничеству. Ведь заключение договора с неблагонадежным контрагентом ставит под бой иного участника, не проявившего должную осмотрительность и добросовестность.</w:t>
      </w:r>
    </w:p>
    <w:p w14:paraId="639BC694" w14:textId="77777777" w:rsidR="00C61E9A" w:rsidRPr="00C61E9A" w:rsidRDefault="00C61E9A" w:rsidP="00C61E9A">
      <w:r w:rsidRPr="00C61E9A">
        <w:t>Но при чем здесь средняя зарплата? Оценка ФХД осуществляется в два этапа, на втором из которых определяется превышение среднемесячной зарплаты работника среднемесячной зарплате в регионе с учетом вида деятельности и ее масштаба. Также контролируется, чтобы доля работников, получающих зарплату ниже уровня МРОТ, установленного в РФ, не превышала 10%.</w:t>
      </w:r>
    </w:p>
    <w:p w14:paraId="6A1E0ABB" w14:textId="77777777" w:rsidR="00C61E9A" w:rsidRPr="00C61E9A" w:rsidRDefault="00C61E9A" w:rsidP="00C61E9A">
      <w:r w:rsidRPr="00C61E9A">
        <w:t xml:space="preserve">Высокий показатель средней зарплаты не только минимизирует риски обвинений в получении необоснованной налоговой выгоды, но и снижает </w:t>
      </w:r>
      <w:proofErr w:type="spellStart"/>
      <w:r w:rsidRPr="00C61E9A">
        <w:t>репутационные</w:t>
      </w:r>
      <w:proofErr w:type="spellEnd"/>
      <w:r w:rsidRPr="00C61E9A">
        <w:t xml:space="preserve"> потери, связанные с негативной оценкой бизнеса, потерей его привлекательности к сотрудничеству.</w:t>
      </w:r>
    </w:p>
    <w:p w14:paraId="1D8EA883" w14:textId="77777777" w:rsidR="00C61E9A" w:rsidRPr="00C61E9A" w:rsidRDefault="00C61E9A" w:rsidP="00C61E9A">
      <w:r w:rsidRPr="00C61E9A">
        <w:t>Редакция Системы Главбух подготовила для вас новый сервис. Начните вводить название вашего региона и узнаете, меньше какой суммы нельзя платить сотрудникам.</w:t>
      </w:r>
    </w:p>
    <w:p w14:paraId="04E377BE" w14:textId="77777777" w:rsidR="00C61E9A" w:rsidRPr="00C61E9A" w:rsidRDefault="00C61E9A" w:rsidP="00C61E9A">
      <w:r w:rsidRPr="00C61E9A">
        <w:t>Как установить размер зарплаты</w:t>
      </w:r>
    </w:p>
    <w:p w14:paraId="257578CF" w14:textId="77777777" w:rsidR="00C61E9A" w:rsidRPr="00C61E9A" w:rsidRDefault="00C61E9A" w:rsidP="00C61E9A">
      <w:r w:rsidRPr="00C61E9A">
        <w:t>Средняя зарплата по регионам РФ в 2026 году: размеры</w:t>
      </w:r>
    </w:p>
    <w:p w14:paraId="26A86D4D" w14:textId="77777777" w:rsidR="00C61E9A" w:rsidRPr="00C61E9A" w:rsidRDefault="00C61E9A" w:rsidP="00C61E9A">
      <w:r w:rsidRPr="00C61E9A">
        <w:t>Средняя зарплата по регионам РФ в 2026 году - это важный аналитический инструмент, который помогает работодателю принимать взвешенные решения о размере зарплат в организации и снижать риски при взаимодействии с контролирующими органами.</w:t>
      </w:r>
    </w:p>
    <w:p w14:paraId="2675DD1E" w14:textId="77777777" w:rsidR="00C61E9A" w:rsidRPr="00C61E9A" w:rsidRDefault="00C61E9A" w:rsidP="00C61E9A">
      <w:r w:rsidRPr="00C61E9A">
        <w:t>Эксперты журнала Главбух подготовили актуальную таблицу средней заработной платы по регионам России на 2026 год на основе официальных данных Росстата, смотрите ее в конце статьи или скачайте по ссылке ниже. В таблице не учитываются данные по ДНР, ЛНР, Запорожской и Херсонской областям.</w:t>
      </w:r>
    </w:p>
    <w:p w14:paraId="12B09FF1" w14:textId="77777777" w:rsidR="00C61E9A" w:rsidRPr="00C61E9A" w:rsidRDefault="00C61E9A" w:rsidP="00C61E9A">
      <w:r w:rsidRPr="00C61E9A">
        <w:t>Средняя зарплата по регионам России в 2026 году: данные Росстата</w:t>
      </w:r>
    </w:p>
    <w:p w14:paraId="1CF4A470" w14:textId="77777777" w:rsidR="00C61E9A" w:rsidRPr="00C61E9A" w:rsidRDefault="00C61E9A" w:rsidP="00C61E9A">
      <w:r w:rsidRPr="00C61E9A">
        <w:t>Регионы с самой высокой зарплатой в 2026 году</w:t>
      </w:r>
    </w:p>
    <w:p w14:paraId="705525E4" w14:textId="77777777" w:rsidR="00C61E9A" w:rsidRPr="00C61E9A" w:rsidRDefault="00C61E9A" w:rsidP="00C61E9A">
      <w:r w:rsidRPr="00C61E9A">
        <w:lastRenderedPageBreak/>
        <w:t xml:space="preserve">К регионам с наибольшим уровнем средней зарплаты в 2026 году относятся регионы с высокой долей добывающей промышленности, финансовых центров и северные территории:  </w:t>
      </w:r>
    </w:p>
    <w:p w14:paraId="0D9B876E" w14:textId="77777777" w:rsidR="00C61E9A" w:rsidRPr="00C61E9A" w:rsidRDefault="00C61E9A" w:rsidP="00C61E9A">
      <w:r w:rsidRPr="00C61E9A">
        <w:t>1.</w:t>
      </w:r>
      <w:r w:rsidRPr="00C61E9A">
        <w:tab/>
        <w:t xml:space="preserve">Магаданская область (244 130 руб.) - традиционный центр добычи драгоценных металлов, что формирует высокий доход в ведущей отрасли и смежных секторах. Регион показал уверенный рост по сравнению октябрь-ноябрь и прирос по начисленной зарплате на 64455 руб. (по данным на октябрь сумма составляла 179674 руб.) </w:t>
      </w:r>
    </w:p>
    <w:p w14:paraId="22A73425" w14:textId="77777777" w:rsidR="00C61E9A" w:rsidRPr="00C61E9A" w:rsidRDefault="00C61E9A" w:rsidP="00C61E9A">
      <w:r w:rsidRPr="00C61E9A">
        <w:t>2.</w:t>
      </w:r>
      <w:r w:rsidRPr="00C61E9A">
        <w:tab/>
        <w:t xml:space="preserve">Чукотский авт. округ (211 768 руб.) - компенсация за экстремальные климатические условия, высокая доля добывающей промышленности (золото) и действующие северные надбавки. </w:t>
      </w:r>
    </w:p>
    <w:p w14:paraId="0388373A" w14:textId="77777777" w:rsidR="00C61E9A" w:rsidRPr="00C61E9A" w:rsidRDefault="00C61E9A" w:rsidP="00C61E9A">
      <w:r w:rsidRPr="00C61E9A">
        <w:t>3.</w:t>
      </w:r>
      <w:r w:rsidRPr="00C61E9A">
        <w:tab/>
        <w:t xml:space="preserve">г. Москва (171 302 руб.) - концентрация головных офисов крупнейших компаний, финансового сектора, ИТ-отрасли и высококвалифицированных специалистов. </w:t>
      </w:r>
    </w:p>
    <w:p w14:paraId="1BBB6000" w14:textId="77777777" w:rsidR="00C61E9A" w:rsidRPr="00C61E9A" w:rsidRDefault="00C61E9A" w:rsidP="00C61E9A">
      <w:r w:rsidRPr="00C61E9A">
        <w:t>4.</w:t>
      </w:r>
      <w:r w:rsidRPr="00C61E9A">
        <w:tab/>
        <w:t xml:space="preserve">Ямало-Ненецкий авт. округ (157 915 руб.) - ключевой газодобывающий регион страны с высокой производительностью труда и специальными условиями оплаты в нефтегазовой отрасли. Регион находится в топ-5 субъектов с самыми высокими зарплатами, хотя по сравнению с октябрем ноябрь потерям 10 279 руб. По данным Росстата на октябрь 2025 года начисленная зарплата составляла 168 195 руб. </w:t>
      </w:r>
    </w:p>
    <w:p w14:paraId="7E5E8EC0" w14:textId="77777777" w:rsidR="00C61E9A" w:rsidRPr="00C61E9A" w:rsidRDefault="00C61E9A" w:rsidP="00C61E9A">
      <w:r w:rsidRPr="00C61E9A">
        <w:t>5.</w:t>
      </w:r>
      <w:r w:rsidRPr="00C61E9A">
        <w:tab/>
        <w:t xml:space="preserve">Сахалинская область (138 905 руб.) - высокие зарплаты обусловлены концентрацией высокодоходных отраслей - нефтегазовой промышленности и рыболовства. </w:t>
      </w:r>
    </w:p>
    <w:p w14:paraId="0C976925" w14:textId="77777777" w:rsidR="00C61E9A" w:rsidRPr="00C61E9A" w:rsidRDefault="00C61E9A" w:rsidP="00C61E9A">
      <w:r w:rsidRPr="00C61E9A">
        <w:t>Регионы с самой низкой зарплатой в 2026 году</w:t>
      </w:r>
    </w:p>
    <w:p w14:paraId="27A95AA1" w14:textId="77777777" w:rsidR="00C61E9A" w:rsidRPr="00C61E9A" w:rsidRDefault="00C61E9A" w:rsidP="00C61E9A">
      <w:r w:rsidRPr="00C61E9A">
        <w:t xml:space="preserve">Минимальные значения зафиксированы в республиках Северного Кавказа и ряде аграрных регионов:  </w:t>
      </w:r>
    </w:p>
    <w:p w14:paraId="27069015" w14:textId="77777777" w:rsidR="00C61E9A" w:rsidRPr="00C61E9A" w:rsidRDefault="00C61E9A" w:rsidP="00C61E9A">
      <w:r w:rsidRPr="00C61E9A">
        <w:t>1.</w:t>
      </w:r>
      <w:r w:rsidRPr="00C61E9A">
        <w:tab/>
        <w:t xml:space="preserve">Республика Ингушетия (44 081 руб.) - Низкий уровень зарплат связан с аграрной экономикой, высоким уровнем безработицы и </w:t>
      </w:r>
      <w:proofErr w:type="spellStart"/>
      <w:r w:rsidRPr="00C61E9A">
        <w:t>дотационностью</w:t>
      </w:r>
      <w:proofErr w:type="spellEnd"/>
      <w:r w:rsidRPr="00C61E9A">
        <w:t xml:space="preserve"> бюджета. </w:t>
      </w:r>
    </w:p>
    <w:p w14:paraId="41D234F2" w14:textId="77777777" w:rsidR="00C61E9A" w:rsidRPr="00C61E9A" w:rsidRDefault="00C61E9A" w:rsidP="00C61E9A">
      <w:r w:rsidRPr="00C61E9A">
        <w:t>2.</w:t>
      </w:r>
      <w:r w:rsidRPr="00C61E9A">
        <w:tab/>
        <w:t xml:space="preserve">Чеченская Республика (46 740 руб.) - Основные причины: последствия военных конфликтов, слабо развитая промышленность и высокий удельный вес сельского хозяйства. </w:t>
      </w:r>
    </w:p>
    <w:p w14:paraId="3845EE0C" w14:textId="77777777" w:rsidR="00C61E9A" w:rsidRPr="00C61E9A" w:rsidRDefault="00C61E9A" w:rsidP="00C61E9A">
      <w:r w:rsidRPr="00C61E9A">
        <w:t>3.</w:t>
      </w:r>
      <w:r w:rsidRPr="00C61E9A">
        <w:tab/>
        <w:t xml:space="preserve">Республика Дагестан (49 324 руб.) - Экономика характеризуется высокой долей теневого сектора, сельского хозяйства и низкой производительностью труда в промышленности. </w:t>
      </w:r>
    </w:p>
    <w:p w14:paraId="6DCA1CCC" w14:textId="77777777" w:rsidR="00C61E9A" w:rsidRPr="00C61E9A" w:rsidRDefault="00C61E9A" w:rsidP="00C61E9A">
      <w:r w:rsidRPr="00C61E9A">
        <w:t>4.</w:t>
      </w:r>
      <w:r w:rsidRPr="00C61E9A">
        <w:tab/>
        <w:t xml:space="preserve">Республика Калмыкия (54 597 руб.) - Регион с аграрно-сырьевой направленностью, депопуляцией и ограниченным числом крупных промышленных предприятий. </w:t>
      </w:r>
    </w:p>
    <w:p w14:paraId="7DBFA129" w14:textId="77777777" w:rsidR="00C61E9A" w:rsidRPr="00C61E9A" w:rsidRDefault="00C61E9A" w:rsidP="00C61E9A">
      <w:r w:rsidRPr="00C61E9A">
        <w:t>5.</w:t>
      </w:r>
      <w:r w:rsidRPr="00C61E9A">
        <w:tab/>
        <w:t xml:space="preserve">Кабардино-Балкарская Республика (53 178 руб.) - Низкий уровень экономического развития, зависящий от федеральных трансфертов, с доминированием сельского хозяйства и туризма. </w:t>
      </w:r>
    </w:p>
    <w:p w14:paraId="1D93224C" w14:textId="77777777" w:rsidR="00C61E9A" w:rsidRPr="00C61E9A" w:rsidRDefault="00C61E9A" w:rsidP="00C61E9A">
      <w:r w:rsidRPr="00C61E9A">
        <w:t>Регионы, в которых средняя начисленная зарплата снизилась ощутимее всего</w:t>
      </w:r>
    </w:p>
    <w:p w14:paraId="30977429" w14:textId="77777777" w:rsidR="00C61E9A" w:rsidRPr="00C61E9A" w:rsidRDefault="00C61E9A" w:rsidP="00C61E9A">
      <w:r w:rsidRPr="00C61E9A">
        <w:t xml:space="preserve">Приведем топ-10 регионов, в которых произошло снижение зарплат:  </w:t>
      </w:r>
    </w:p>
    <w:p w14:paraId="3D50055D" w14:textId="77777777" w:rsidR="00C61E9A" w:rsidRPr="00C61E9A" w:rsidRDefault="00C61E9A" w:rsidP="00C61E9A">
      <w:r w:rsidRPr="00C61E9A">
        <w:t>1.</w:t>
      </w:r>
      <w:r w:rsidRPr="00C61E9A">
        <w:tab/>
        <w:t xml:space="preserve">Камчатский край </w:t>
      </w:r>
    </w:p>
    <w:p w14:paraId="41EA8AAA" w14:textId="77777777" w:rsidR="00C61E9A" w:rsidRPr="00C61E9A" w:rsidRDefault="00C61E9A" w:rsidP="00C61E9A">
      <w:r w:rsidRPr="00C61E9A">
        <w:lastRenderedPageBreak/>
        <w:t>2.</w:t>
      </w:r>
      <w:r w:rsidRPr="00C61E9A">
        <w:tab/>
        <w:t xml:space="preserve">Ямало-Ненецкий авт. округ </w:t>
      </w:r>
    </w:p>
    <w:p w14:paraId="5DD67957" w14:textId="77777777" w:rsidR="00C61E9A" w:rsidRPr="00C61E9A" w:rsidRDefault="00C61E9A" w:rsidP="00C61E9A">
      <w:r w:rsidRPr="00C61E9A">
        <w:t>3.</w:t>
      </w:r>
      <w:r w:rsidRPr="00C61E9A">
        <w:tab/>
        <w:t xml:space="preserve">Тюменская область </w:t>
      </w:r>
    </w:p>
    <w:p w14:paraId="07F9F9CB" w14:textId="77777777" w:rsidR="00C61E9A" w:rsidRPr="00C61E9A" w:rsidRDefault="00C61E9A" w:rsidP="00C61E9A">
      <w:r w:rsidRPr="00C61E9A">
        <w:t>4.</w:t>
      </w:r>
      <w:r w:rsidRPr="00C61E9A">
        <w:tab/>
        <w:t xml:space="preserve">г. Санкт-Петербург </w:t>
      </w:r>
    </w:p>
    <w:p w14:paraId="1BF0858A" w14:textId="77777777" w:rsidR="00C61E9A" w:rsidRPr="00C61E9A" w:rsidRDefault="00C61E9A" w:rsidP="00C61E9A">
      <w:r w:rsidRPr="00C61E9A">
        <w:t>5.</w:t>
      </w:r>
      <w:r w:rsidRPr="00C61E9A">
        <w:tab/>
        <w:t xml:space="preserve">Тюменская область без авт. округов </w:t>
      </w:r>
    </w:p>
    <w:p w14:paraId="753FB9B9" w14:textId="77777777" w:rsidR="00C61E9A" w:rsidRPr="00C61E9A" w:rsidRDefault="00C61E9A" w:rsidP="00C61E9A">
      <w:r w:rsidRPr="00C61E9A">
        <w:t>6.</w:t>
      </w:r>
      <w:r w:rsidRPr="00C61E9A">
        <w:tab/>
        <w:t xml:space="preserve">Ханты-Мансийский авт. округ - Югра </w:t>
      </w:r>
    </w:p>
    <w:p w14:paraId="28C4F00F" w14:textId="77777777" w:rsidR="00C61E9A" w:rsidRPr="00C61E9A" w:rsidRDefault="00C61E9A" w:rsidP="00C61E9A">
      <w:r w:rsidRPr="00C61E9A">
        <w:t>7.</w:t>
      </w:r>
      <w:r w:rsidRPr="00C61E9A">
        <w:tab/>
        <w:t xml:space="preserve">Ненецкий </w:t>
      </w:r>
      <w:proofErr w:type="spellStart"/>
      <w:proofErr w:type="gramStart"/>
      <w:r w:rsidRPr="00C61E9A">
        <w:t>авт.округ</w:t>
      </w:r>
      <w:proofErr w:type="spellEnd"/>
      <w:proofErr w:type="gramEnd"/>
      <w:r w:rsidRPr="00C61E9A">
        <w:t xml:space="preserve"> </w:t>
      </w:r>
    </w:p>
    <w:p w14:paraId="263A410C" w14:textId="77777777" w:rsidR="00C61E9A" w:rsidRPr="00C61E9A" w:rsidRDefault="00C61E9A" w:rsidP="00C61E9A">
      <w:r w:rsidRPr="00C61E9A">
        <w:t>8.</w:t>
      </w:r>
      <w:r w:rsidRPr="00C61E9A">
        <w:tab/>
        <w:t xml:space="preserve">Сахалинская область </w:t>
      </w:r>
    </w:p>
    <w:p w14:paraId="23DE3BC8" w14:textId="77777777" w:rsidR="00C61E9A" w:rsidRPr="00C61E9A" w:rsidRDefault="00C61E9A" w:rsidP="00C61E9A">
      <w:r w:rsidRPr="00C61E9A">
        <w:t>9.</w:t>
      </w:r>
      <w:r w:rsidRPr="00C61E9A">
        <w:tab/>
        <w:t xml:space="preserve">Московская область </w:t>
      </w:r>
    </w:p>
    <w:p w14:paraId="1FA83A01" w14:textId="77777777" w:rsidR="00C61E9A" w:rsidRPr="00C61E9A" w:rsidRDefault="00C61E9A" w:rsidP="00C61E9A">
      <w:r w:rsidRPr="00C61E9A">
        <w:t>10.</w:t>
      </w:r>
      <w:r w:rsidRPr="00C61E9A">
        <w:tab/>
        <w:t xml:space="preserve">Еврейская </w:t>
      </w:r>
      <w:proofErr w:type="spellStart"/>
      <w:proofErr w:type="gramStart"/>
      <w:r w:rsidRPr="00C61E9A">
        <w:t>авт.область</w:t>
      </w:r>
      <w:proofErr w:type="spellEnd"/>
      <w:proofErr w:type="gramEnd"/>
      <w:r w:rsidRPr="00C61E9A">
        <w:t xml:space="preserve"> </w:t>
      </w:r>
    </w:p>
    <w:p w14:paraId="13C603BF" w14:textId="77777777" w:rsidR="00C61E9A" w:rsidRPr="003665FD" w:rsidRDefault="00C61E9A" w:rsidP="00C61E9A">
      <w:r w:rsidRPr="00C61E9A">
        <w:t>В таблице ниже продемонстрируем, как менялась зарплата в этих субъектах РФ в последнее время.</w:t>
      </w:r>
    </w:p>
    <w:p w14:paraId="30458EB9" w14:textId="77777777" w:rsidR="00C61E9A" w:rsidRPr="00C61E9A" w:rsidRDefault="00C61E9A" w:rsidP="00C61E9A">
      <w:pPr>
        <w:rPr>
          <w:rFonts w:ascii="Arial" w:eastAsiaTheme="minorHAnsi" w:hAnsi="Arial" w:cstheme="minorBidi"/>
          <w:sz w:val="20"/>
          <w:szCs w:val="20"/>
          <w:lang w:eastAsia="en-US"/>
        </w:rPr>
      </w:pPr>
      <w:r w:rsidRPr="00C61E9A">
        <w:rPr>
          <w:rFonts w:ascii="Arial" w:eastAsiaTheme="minorHAnsi" w:hAnsi="Arial" w:cstheme="minorBidi"/>
          <w:sz w:val="20"/>
          <w:szCs w:val="20"/>
          <w:lang w:eastAsia="en-US"/>
        </w:rPr>
        <w:t>В каких регионах сильно снизилась средняя зарплата</w:t>
      </w:r>
    </w:p>
    <w:tbl>
      <w:tblPr>
        <w:tblStyle w:val="TableGrid1"/>
        <w:tblW w:w="5000" w:type="pct"/>
        <w:tblCellSpacing w:w="0" w:type="dxa"/>
        <w:tblCellMar>
          <w:left w:w="0" w:type="dxa"/>
          <w:right w:w="0" w:type="dxa"/>
        </w:tblCellMar>
        <w:tblLook w:val="04A0" w:firstRow="1" w:lastRow="0" w:firstColumn="1" w:lastColumn="0" w:noHBand="0" w:noVBand="1"/>
      </w:tblPr>
      <w:tblGrid>
        <w:gridCol w:w="1807"/>
        <w:gridCol w:w="3205"/>
        <w:gridCol w:w="310"/>
        <w:gridCol w:w="310"/>
        <w:gridCol w:w="1350"/>
        <w:gridCol w:w="777"/>
        <w:gridCol w:w="690"/>
        <w:gridCol w:w="612"/>
      </w:tblGrid>
      <w:tr w:rsidR="00C61E9A" w:rsidRPr="00C61E9A" w14:paraId="4B2262AD" w14:textId="77777777" w:rsidTr="00A1063D">
        <w:trPr>
          <w:gridAfter w:val="3"/>
          <w:tblCellSpacing w:w="0" w:type="dxa"/>
        </w:trPr>
        <w:tc>
          <w:tcPr>
            <w:tcW w:w="0" w:type="auto"/>
            <w:vAlign w:val="center"/>
          </w:tcPr>
          <w:p w14:paraId="77811A8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EE2DC1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Регион РФ </w:t>
            </w:r>
          </w:p>
        </w:tc>
        <w:tc>
          <w:tcPr>
            <w:tcW w:w="0" w:type="auto"/>
            <w:gridSpan w:val="2"/>
            <w:vAlign w:val="center"/>
          </w:tcPr>
          <w:p w14:paraId="5023648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8D3A17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Среднемесячная номинальная начисленная заработная плата работников, рублей </w:t>
            </w:r>
          </w:p>
        </w:tc>
        <w:tc>
          <w:tcPr>
            <w:tcW w:w="0" w:type="auto"/>
            <w:gridSpan w:val="2"/>
            <w:vAlign w:val="center"/>
          </w:tcPr>
          <w:p w14:paraId="69E76FE8"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EBD115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На сколько снизилась</w:t>
            </w:r>
          </w:p>
          <w:p w14:paraId="664F0C5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начисленная зарплата</w:t>
            </w:r>
          </w:p>
          <w:p w14:paraId="01989E34"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(сравнение ноября</w:t>
            </w:r>
          </w:p>
          <w:p w14:paraId="56F9E06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с октябрем) </w:t>
            </w:r>
          </w:p>
        </w:tc>
      </w:tr>
      <w:tr w:rsidR="00C61E9A" w:rsidRPr="00C61E9A" w14:paraId="5EB3C9CE" w14:textId="77777777" w:rsidTr="00A1063D">
        <w:trPr>
          <w:tblCellSpacing w:w="0" w:type="dxa"/>
        </w:trPr>
        <w:tc>
          <w:tcPr>
            <w:tcW w:w="0" w:type="dxa"/>
            <w:vMerge/>
          </w:tcPr>
          <w:p w14:paraId="01305FF1" w14:textId="77777777" w:rsidR="00C61E9A" w:rsidRPr="00C61E9A" w:rsidRDefault="00C61E9A" w:rsidP="00C61E9A">
            <w:pPr>
              <w:spacing w:before="120"/>
              <w:jc w:val="left"/>
              <w:rPr>
                <w:rFonts w:ascii="Times New Roman" w:hAnsi="Times New Roman" w:cs="Times New Roman"/>
                <w:sz w:val="20"/>
                <w:szCs w:val="20"/>
              </w:rPr>
            </w:pPr>
          </w:p>
        </w:tc>
        <w:tc>
          <w:tcPr>
            <w:tcW w:w="0" w:type="auto"/>
          </w:tcPr>
          <w:p w14:paraId="37DD52E7"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0C2442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июль </w:t>
            </w:r>
          </w:p>
        </w:tc>
        <w:tc>
          <w:tcPr>
            <w:tcW w:w="0" w:type="dxa"/>
            <w:gridSpan w:val="2"/>
            <w:vMerge/>
          </w:tcPr>
          <w:p w14:paraId="77BD8879" w14:textId="77777777" w:rsidR="00C61E9A" w:rsidRPr="00C61E9A" w:rsidRDefault="00C61E9A" w:rsidP="00C61E9A">
            <w:pPr>
              <w:spacing w:before="120"/>
              <w:jc w:val="left"/>
              <w:rPr>
                <w:rFonts w:ascii="Times New Roman" w:hAnsi="Times New Roman" w:cs="Times New Roman"/>
                <w:sz w:val="20"/>
                <w:szCs w:val="20"/>
              </w:rPr>
            </w:pPr>
          </w:p>
        </w:tc>
        <w:tc>
          <w:tcPr>
            <w:tcW w:w="0" w:type="auto"/>
          </w:tcPr>
          <w:p w14:paraId="3D2970E9"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9DD642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август </w:t>
            </w:r>
          </w:p>
        </w:tc>
        <w:tc>
          <w:tcPr>
            <w:tcW w:w="0" w:type="auto"/>
          </w:tcPr>
          <w:p w14:paraId="3D57E6EA"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042621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сентябрь </w:t>
            </w:r>
          </w:p>
        </w:tc>
        <w:tc>
          <w:tcPr>
            <w:tcW w:w="0" w:type="auto"/>
          </w:tcPr>
          <w:p w14:paraId="3DB915D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086E57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октябрь </w:t>
            </w:r>
          </w:p>
        </w:tc>
        <w:tc>
          <w:tcPr>
            <w:tcW w:w="0" w:type="auto"/>
          </w:tcPr>
          <w:p w14:paraId="521EE23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5D886B0"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ноябрь </w:t>
            </w:r>
          </w:p>
        </w:tc>
      </w:tr>
      <w:tr w:rsidR="00C61E9A" w:rsidRPr="00C61E9A" w14:paraId="3A8E8CE8" w14:textId="77777777" w:rsidTr="00A1063D">
        <w:trPr>
          <w:tblCellSpacing w:w="0" w:type="dxa"/>
        </w:trPr>
        <w:tc>
          <w:tcPr>
            <w:tcW w:w="0" w:type="auto"/>
          </w:tcPr>
          <w:p w14:paraId="3251C2B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5A6FEDC"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Камчатский край </w:t>
            </w:r>
          </w:p>
        </w:tc>
        <w:tc>
          <w:tcPr>
            <w:tcW w:w="0" w:type="auto"/>
          </w:tcPr>
          <w:p w14:paraId="728BE961"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C851590"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130956 </w:t>
            </w:r>
          </w:p>
        </w:tc>
        <w:tc>
          <w:tcPr>
            <w:tcW w:w="0" w:type="auto"/>
            <w:gridSpan w:val="2"/>
          </w:tcPr>
          <w:p w14:paraId="189921BD"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5AFFCD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142836 </w:t>
            </w:r>
          </w:p>
        </w:tc>
        <w:tc>
          <w:tcPr>
            <w:tcW w:w="0" w:type="auto"/>
          </w:tcPr>
          <w:p w14:paraId="0B83B241"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65A1B8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175303 </w:t>
            </w:r>
          </w:p>
        </w:tc>
        <w:tc>
          <w:tcPr>
            <w:tcW w:w="0" w:type="auto"/>
          </w:tcPr>
          <w:p w14:paraId="59DF5240"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7634846"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164954 </w:t>
            </w:r>
          </w:p>
        </w:tc>
        <w:tc>
          <w:tcPr>
            <w:tcW w:w="0" w:type="auto"/>
          </w:tcPr>
          <w:p w14:paraId="66D89C44"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EEFB9B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137347 </w:t>
            </w:r>
          </w:p>
        </w:tc>
        <w:tc>
          <w:tcPr>
            <w:tcW w:w="0" w:type="auto"/>
          </w:tcPr>
          <w:p w14:paraId="6DB37EBC"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A11DE6C"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27607 </w:t>
            </w:r>
          </w:p>
        </w:tc>
      </w:tr>
      <w:tr w:rsidR="00C61E9A" w:rsidRPr="00C61E9A" w14:paraId="1365DFD6" w14:textId="77777777" w:rsidTr="00A1063D">
        <w:trPr>
          <w:tblCellSpacing w:w="0" w:type="dxa"/>
        </w:trPr>
        <w:tc>
          <w:tcPr>
            <w:tcW w:w="0" w:type="auto"/>
          </w:tcPr>
          <w:p w14:paraId="09C0788D"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7DD6BA6"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Ямало-Ненецкий авт. округ </w:t>
            </w:r>
          </w:p>
        </w:tc>
        <w:tc>
          <w:tcPr>
            <w:tcW w:w="0" w:type="auto"/>
          </w:tcPr>
          <w:p w14:paraId="4477A283"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CA241F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173696 </w:t>
            </w:r>
          </w:p>
        </w:tc>
        <w:tc>
          <w:tcPr>
            <w:tcW w:w="0" w:type="auto"/>
            <w:gridSpan w:val="2"/>
          </w:tcPr>
          <w:p w14:paraId="37C8D04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DEA4AAC"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173481 </w:t>
            </w:r>
          </w:p>
        </w:tc>
        <w:tc>
          <w:tcPr>
            <w:tcW w:w="0" w:type="auto"/>
          </w:tcPr>
          <w:p w14:paraId="103F6208"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AA09390"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162154 </w:t>
            </w:r>
          </w:p>
        </w:tc>
        <w:tc>
          <w:tcPr>
            <w:tcW w:w="0" w:type="auto"/>
          </w:tcPr>
          <w:p w14:paraId="2D49E02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62997D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168195 </w:t>
            </w:r>
          </w:p>
        </w:tc>
        <w:tc>
          <w:tcPr>
            <w:tcW w:w="0" w:type="auto"/>
          </w:tcPr>
          <w:p w14:paraId="04B2816D"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F1BEB2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157915 </w:t>
            </w:r>
          </w:p>
        </w:tc>
        <w:tc>
          <w:tcPr>
            <w:tcW w:w="0" w:type="auto"/>
          </w:tcPr>
          <w:p w14:paraId="7D19AFC7"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D79595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10279 </w:t>
            </w:r>
          </w:p>
        </w:tc>
      </w:tr>
      <w:tr w:rsidR="00C61E9A" w:rsidRPr="00C61E9A" w14:paraId="4E38F9DB" w14:textId="77777777" w:rsidTr="00A1063D">
        <w:trPr>
          <w:tblCellSpacing w:w="0" w:type="dxa"/>
        </w:trPr>
        <w:tc>
          <w:tcPr>
            <w:tcW w:w="0" w:type="auto"/>
          </w:tcPr>
          <w:p w14:paraId="4648DE2C"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480181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Тюменская область </w:t>
            </w:r>
          </w:p>
        </w:tc>
        <w:tc>
          <w:tcPr>
            <w:tcW w:w="0" w:type="auto"/>
          </w:tcPr>
          <w:p w14:paraId="712A4AC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E84B01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128774 </w:t>
            </w:r>
          </w:p>
        </w:tc>
        <w:tc>
          <w:tcPr>
            <w:tcW w:w="0" w:type="auto"/>
            <w:gridSpan w:val="2"/>
          </w:tcPr>
          <w:p w14:paraId="4364CB9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CE3E462"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122652 </w:t>
            </w:r>
          </w:p>
        </w:tc>
        <w:tc>
          <w:tcPr>
            <w:tcW w:w="0" w:type="auto"/>
          </w:tcPr>
          <w:p w14:paraId="1DBD4CBC"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235869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129139 </w:t>
            </w:r>
          </w:p>
        </w:tc>
        <w:tc>
          <w:tcPr>
            <w:tcW w:w="0" w:type="auto"/>
          </w:tcPr>
          <w:p w14:paraId="5A7819FA"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C89799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125655 </w:t>
            </w:r>
          </w:p>
        </w:tc>
        <w:tc>
          <w:tcPr>
            <w:tcW w:w="0" w:type="auto"/>
          </w:tcPr>
          <w:p w14:paraId="510A8AA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C76A2C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119553 </w:t>
            </w:r>
          </w:p>
        </w:tc>
        <w:tc>
          <w:tcPr>
            <w:tcW w:w="0" w:type="auto"/>
          </w:tcPr>
          <w:p w14:paraId="0E4F924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DAB431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6102 </w:t>
            </w:r>
          </w:p>
        </w:tc>
      </w:tr>
      <w:tr w:rsidR="00C61E9A" w:rsidRPr="00C61E9A" w14:paraId="4325D793" w14:textId="77777777" w:rsidTr="00A1063D">
        <w:trPr>
          <w:tblCellSpacing w:w="0" w:type="dxa"/>
        </w:trPr>
        <w:tc>
          <w:tcPr>
            <w:tcW w:w="0" w:type="auto"/>
          </w:tcPr>
          <w:p w14:paraId="7AD62B1C"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540C83D" w14:textId="77777777" w:rsidR="00C61E9A" w:rsidRPr="00C61E9A" w:rsidRDefault="00C61E9A" w:rsidP="00C61E9A">
            <w:pPr>
              <w:spacing w:before="120"/>
              <w:jc w:val="left"/>
              <w:rPr>
                <w:rFonts w:ascii="Times New Roman" w:hAnsi="Times New Roman" w:cs="Times New Roman"/>
                <w:sz w:val="20"/>
                <w:szCs w:val="20"/>
              </w:rPr>
            </w:pPr>
            <w:proofErr w:type="spellStart"/>
            <w:r w:rsidRPr="00C61E9A">
              <w:rPr>
                <w:rFonts w:ascii="Times New Roman" w:hAnsi="Times New Roman" w:cs="Times New Roman"/>
                <w:sz w:val="20"/>
                <w:szCs w:val="20"/>
              </w:rPr>
              <w:t>г.Санкт</w:t>
            </w:r>
            <w:proofErr w:type="spellEnd"/>
            <w:r w:rsidRPr="00C61E9A">
              <w:rPr>
                <w:rFonts w:ascii="Times New Roman" w:hAnsi="Times New Roman" w:cs="Times New Roman"/>
                <w:sz w:val="20"/>
                <w:szCs w:val="20"/>
              </w:rPr>
              <w:t xml:space="preserve">-Петербург </w:t>
            </w:r>
          </w:p>
        </w:tc>
        <w:tc>
          <w:tcPr>
            <w:tcW w:w="0" w:type="auto"/>
          </w:tcPr>
          <w:p w14:paraId="214E7167"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9613A7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117291 </w:t>
            </w:r>
          </w:p>
        </w:tc>
        <w:tc>
          <w:tcPr>
            <w:tcW w:w="0" w:type="auto"/>
            <w:gridSpan w:val="2"/>
          </w:tcPr>
          <w:p w14:paraId="020C83A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5228B42"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109914 </w:t>
            </w:r>
          </w:p>
        </w:tc>
        <w:tc>
          <w:tcPr>
            <w:tcW w:w="0" w:type="auto"/>
          </w:tcPr>
          <w:p w14:paraId="09453FA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0A841B0"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115412 </w:t>
            </w:r>
          </w:p>
        </w:tc>
        <w:tc>
          <w:tcPr>
            <w:tcW w:w="0" w:type="auto"/>
          </w:tcPr>
          <w:p w14:paraId="11ECCA1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41297D2"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122179 </w:t>
            </w:r>
          </w:p>
        </w:tc>
        <w:tc>
          <w:tcPr>
            <w:tcW w:w="0" w:type="auto"/>
          </w:tcPr>
          <w:p w14:paraId="1857329A"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43CF33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116764 </w:t>
            </w:r>
          </w:p>
        </w:tc>
        <w:tc>
          <w:tcPr>
            <w:tcW w:w="0" w:type="auto"/>
          </w:tcPr>
          <w:p w14:paraId="114B8AC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A18C40D"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5415 </w:t>
            </w:r>
          </w:p>
        </w:tc>
      </w:tr>
      <w:tr w:rsidR="00C61E9A" w:rsidRPr="00C61E9A" w14:paraId="49345899" w14:textId="77777777" w:rsidTr="00A1063D">
        <w:trPr>
          <w:tblCellSpacing w:w="0" w:type="dxa"/>
        </w:trPr>
        <w:tc>
          <w:tcPr>
            <w:tcW w:w="0" w:type="auto"/>
          </w:tcPr>
          <w:p w14:paraId="1DCC0CBA"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8110BB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Тюменская область без авт. округов </w:t>
            </w:r>
          </w:p>
        </w:tc>
        <w:tc>
          <w:tcPr>
            <w:tcW w:w="0" w:type="auto"/>
          </w:tcPr>
          <w:p w14:paraId="00FC5F81"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CE8856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93419 </w:t>
            </w:r>
          </w:p>
        </w:tc>
        <w:tc>
          <w:tcPr>
            <w:tcW w:w="0" w:type="auto"/>
            <w:gridSpan w:val="2"/>
          </w:tcPr>
          <w:p w14:paraId="2F53447F"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8778D49"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88266 </w:t>
            </w:r>
          </w:p>
        </w:tc>
        <w:tc>
          <w:tcPr>
            <w:tcW w:w="0" w:type="auto"/>
          </w:tcPr>
          <w:p w14:paraId="0D73F87F"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510E4D9"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92043 </w:t>
            </w:r>
          </w:p>
        </w:tc>
        <w:tc>
          <w:tcPr>
            <w:tcW w:w="0" w:type="auto"/>
          </w:tcPr>
          <w:p w14:paraId="642821F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2ABBEFE"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94370 </w:t>
            </w:r>
          </w:p>
        </w:tc>
        <w:tc>
          <w:tcPr>
            <w:tcW w:w="0" w:type="auto"/>
          </w:tcPr>
          <w:p w14:paraId="41CB144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6D6BBB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89245 </w:t>
            </w:r>
          </w:p>
        </w:tc>
        <w:tc>
          <w:tcPr>
            <w:tcW w:w="0" w:type="auto"/>
          </w:tcPr>
          <w:p w14:paraId="16ED45D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79CE61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5125 </w:t>
            </w:r>
          </w:p>
        </w:tc>
      </w:tr>
      <w:tr w:rsidR="00C61E9A" w:rsidRPr="00C61E9A" w14:paraId="6F9FBD9C" w14:textId="77777777" w:rsidTr="00A1063D">
        <w:trPr>
          <w:tblCellSpacing w:w="0" w:type="dxa"/>
        </w:trPr>
        <w:tc>
          <w:tcPr>
            <w:tcW w:w="0" w:type="auto"/>
          </w:tcPr>
          <w:p w14:paraId="7837C7A9"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EF395A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Ханты-Мансийский авт. округ - Югра </w:t>
            </w:r>
          </w:p>
        </w:tc>
        <w:tc>
          <w:tcPr>
            <w:tcW w:w="0" w:type="auto"/>
          </w:tcPr>
          <w:p w14:paraId="31C214A5"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D9ECF0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129626 </w:t>
            </w:r>
          </w:p>
        </w:tc>
        <w:tc>
          <w:tcPr>
            <w:tcW w:w="0" w:type="auto"/>
            <w:gridSpan w:val="2"/>
          </w:tcPr>
          <w:p w14:paraId="50789475"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CE43BC6"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120039 </w:t>
            </w:r>
          </w:p>
        </w:tc>
        <w:tc>
          <w:tcPr>
            <w:tcW w:w="0" w:type="auto"/>
          </w:tcPr>
          <w:p w14:paraId="1AD5EAA8"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B97ECB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136916 </w:t>
            </w:r>
          </w:p>
        </w:tc>
        <w:tc>
          <w:tcPr>
            <w:tcW w:w="0" w:type="auto"/>
          </w:tcPr>
          <w:p w14:paraId="2E605550"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0B5A01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125007 </w:t>
            </w:r>
          </w:p>
        </w:tc>
        <w:tc>
          <w:tcPr>
            <w:tcW w:w="0" w:type="auto"/>
          </w:tcPr>
          <w:p w14:paraId="12CAD3B8"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0A28F30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120315 </w:t>
            </w:r>
          </w:p>
        </w:tc>
        <w:tc>
          <w:tcPr>
            <w:tcW w:w="0" w:type="auto"/>
          </w:tcPr>
          <w:p w14:paraId="5FFFAAA1"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E41DBF2"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4692 </w:t>
            </w:r>
          </w:p>
        </w:tc>
      </w:tr>
      <w:tr w:rsidR="00C61E9A" w:rsidRPr="00C61E9A" w14:paraId="20C7590A" w14:textId="77777777" w:rsidTr="00A1063D">
        <w:trPr>
          <w:tblCellSpacing w:w="0" w:type="dxa"/>
        </w:trPr>
        <w:tc>
          <w:tcPr>
            <w:tcW w:w="0" w:type="auto"/>
          </w:tcPr>
          <w:p w14:paraId="5E39FCAF"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19FBEE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в том числе Ненецкий </w:t>
            </w:r>
            <w:proofErr w:type="spellStart"/>
            <w:r w:rsidRPr="00C61E9A">
              <w:rPr>
                <w:rFonts w:ascii="Times New Roman" w:hAnsi="Times New Roman" w:cs="Times New Roman"/>
                <w:sz w:val="20"/>
                <w:szCs w:val="20"/>
              </w:rPr>
              <w:t>авт.округ</w:t>
            </w:r>
            <w:proofErr w:type="spellEnd"/>
            <w:r w:rsidRPr="00C61E9A">
              <w:rPr>
                <w:rFonts w:ascii="Times New Roman" w:hAnsi="Times New Roman" w:cs="Times New Roman"/>
                <w:sz w:val="20"/>
                <w:szCs w:val="20"/>
              </w:rPr>
              <w:t xml:space="preserve"> </w:t>
            </w:r>
          </w:p>
        </w:tc>
        <w:tc>
          <w:tcPr>
            <w:tcW w:w="0" w:type="auto"/>
          </w:tcPr>
          <w:p w14:paraId="186AC0D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5275B32E"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143750 </w:t>
            </w:r>
          </w:p>
        </w:tc>
        <w:tc>
          <w:tcPr>
            <w:tcW w:w="0" w:type="auto"/>
            <w:gridSpan w:val="2"/>
          </w:tcPr>
          <w:p w14:paraId="0867BDD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0EEA713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131488 </w:t>
            </w:r>
          </w:p>
        </w:tc>
        <w:tc>
          <w:tcPr>
            <w:tcW w:w="0" w:type="auto"/>
          </w:tcPr>
          <w:p w14:paraId="530626D7"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2E0CFA78"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149146 </w:t>
            </w:r>
          </w:p>
        </w:tc>
        <w:tc>
          <w:tcPr>
            <w:tcW w:w="0" w:type="auto"/>
          </w:tcPr>
          <w:p w14:paraId="42F1AAC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4C32792D"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138230 </w:t>
            </w:r>
          </w:p>
        </w:tc>
        <w:tc>
          <w:tcPr>
            <w:tcW w:w="0" w:type="auto"/>
          </w:tcPr>
          <w:p w14:paraId="475F931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389B51E5"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133653 </w:t>
            </w:r>
          </w:p>
        </w:tc>
        <w:tc>
          <w:tcPr>
            <w:tcW w:w="0" w:type="auto"/>
          </w:tcPr>
          <w:p w14:paraId="39A184ED"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lastRenderedPageBreak/>
              <w:t xml:space="preserve">   </w:t>
            </w:r>
          </w:p>
          <w:p w14:paraId="04753D8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lastRenderedPageBreak/>
              <w:t xml:space="preserve">4577 </w:t>
            </w:r>
          </w:p>
        </w:tc>
      </w:tr>
      <w:tr w:rsidR="00C61E9A" w:rsidRPr="00C61E9A" w14:paraId="58AD1182" w14:textId="77777777" w:rsidTr="00A1063D">
        <w:trPr>
          <w:tblCellSpacing w:w="0" w:type="dxa"/>
        </w:trPr>
        <w:tc>
          <w:tcPr>
            <w:tcW w:w="0" w:type="auto"/>
          </w:tcPr>
          <w:p w14:paraId="1AAF900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C361E22"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Сахалинская область </w:t>
            </w:r>
          </w:p>
        </w:tc>
        <w:tc>
          <w:tcPr>
            <w:tcW w:w="0" w:type="auto"/>
          </w:tcPr>
          <w:p w14:paraId="232EEF45"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A9DF9A4"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149876 </w:t>
            </w:r>
          </w:p>
        </w:tc>
        <w:tc>
          <w:tcPr>
            <w:tcW w:w="0" w:type="auto"/>
            <w:gridSpan w:val="2"/>
          </w:tcPr>
          <w:p w14:paraId="797EDEA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3313B0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136687 </w:t>
            </w:r>
          </w:p>
        </w:tc>
        <w:tc>
          <w:tcPr>
            <w:tcW w:w="0" w:type="auto"/>
          </w:tcPr>
          <w:p w14:paraId="62B1A35A"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3D4958D"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142717 </w:t>
            </w:r>
          </w:p>
        </w:tc>
        <w:tc>
          <w:tcPr>
            <w:tcW w:w="0" w:type="auto"/>
          </w:tcPr>
          <w:p w14:paraId="1D7A249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1DB14BD"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142634 </w:t>
            </w:r>
          </w:p>
        </w:tc>
        <w:tc>
          <w:tcPr>
            <w:tcW w:w="0" w:type="auto"/>
          </w:tcPr>
          <w:p w14:paraId="7CB78CF8"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8A7FF1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138905 </w:t>
            </w:r>
          </w:p>
        </w:tc>
        <w:tc>
          <w:tcPr>
            <w:tcW w:w="0" w:type="auto"/>
          </w:tcPr>
          <w:p w14:paraId="4FF26FC5"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2B6C4E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3729 </w:t>
            </w:r>
          </w:p>
        </w:tc>
      </w:tr>
      <w:tr w:rsidR="00C61E9A" w:rsidRPr="00C61E9A" w14:paraId="73A8E1B1" w14:textId="77777777" w:rsidTr="00A1063D">
        <w:trPr>
          <w:tblCellSpacing w:w="0" w:type="dxa"/>
        </w:trPr>
        <w:tc>
          <w:tcPr>
            <w:tcW w:w="0" w:type="auto"/>
          </w:tcPr>
          <w:p w14:paraId="02859387"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97959B7"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Московская область </w:t>
            </w:r>
          </w:p>
        </w:tc>
        <w:tc>
          <w:tcPr>
            <w:tcW w:w="0" w:type="auto"/>
          </w:tcPr>
          <w:p w14:paraId="1F7399C0"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30DE242E"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115811 </w:t>
            </w:r>
          </w:p>
        </w:tc>
        <w:tc>
          <w:tcPr>
            <w:tcW w:w="0" w:type="auto"/>
            <w:gridSpan w:val="2"/>
          </w:tcPr>
          <w:p w14:paraId="551ED2D9"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1A8BBC6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108639 </w:t>
            </w:r>
          </w:p>
        </w:tc>
        <w:tc>
          <w:tcPr>
            <w:tcW w:w="0" w:type="auto"/>
          </w:tcPr>
          <w:p w14:paraId="7DC69E24"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7ADC12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113365 </w:t>
            </w:r>
          </w:p>
        </w:tc>
        <w:tc>
          <w:tcPr>
            <w:tcW w:w="0" w:type="auto"/>
          </w:tcPr>
          <w:p w14:paraId="6FD84C49"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57F3792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119732 </w:t>
            </w:r>
          </w:p>
        </w:tc>
        <w:tc>
          <w:tcPr>
            <w:tcW w:w="0" w:type="auto"/>
          </w:tcPr>
          <w:p w14:paraId="327C28A2"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02FA9AA"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116353 </w:t>
            </w:r>
          </w:p>
        </w:tc>
        <w:tc>
          <w:tcPr>
            <w:tcW w:w="0" w:type="auto"/>
          </w:tcPr>
          <w:p w14:paraId="1F8CBE4B"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756D0D6C"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3379 </w:t>
            </w:r>
          </w:p>
        </w:tc>
      </w:tr>
      <w:tr w:rsidR="00C61E9A" w:rsidRPr="00C61E9A" w14:paraId="6E9F9A36" w14:textId="77777777" w:rsidTr="00A1063D">
        <w:trPr>
          <w:tblCellSpacing w:w="0" w:type="dxa"/>
        </w:trPr>
        <w:tc>
          <w:tcPr>
            <w:tcW w:w="0" w:type="auto"/>
          </w:tcPr>
          <w:p w14:paraId="30E72E13"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FDF6299"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Еврейская </w:t>
            </w:r>
            <w:proofErr w:type="spellStart"/>
            <w:r w:rsidRPr="00C61E9A">
              <w:rPr>
                <w:rFonts w:ascii="Times New Roman" w:hAnsi="Times New Roman" w:cs="Times New Roman"/>
                <w:sz w:val="20"/>
                <w:szCs w:val="20"/>
              </w:rPr>
              <w:t>авт.область</w:t>
            </w:r>
            <w:proofErr w:type="spellEnd"/>
            <w:r w:rsidRPr="00C61E9A">
              <w:rPr>
                <w:rFonts w:ascii="Times New Roman" w:hAnsi="Times New Roman" w:cs="Times New Roman"/>
                <w:sz w:val="20"/>
                <w:szCs w:val="20"/>
              </w:rPr>
              <w:t xml:space="preserve"> </w:t>
            </w:r>
          </w:p>
        </w:tc>
        <w:tc>
          <w:tcPr>
            <w:tcW w:w="0" w:type="auto"/>
          </w:tcPr>
          <w:p w14:paraId="27D65D4D"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5C62504"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92054 </w:t>
            </w:r>
          </w:p>
        </w:tc>
        <w:tc>
          <w:tcPr>
            <w:tcW w:w="0" w:type="auto"/>
            <w:gridSpan w:val="2"/>
          </w:tcPr>
          <w:p w14:paraId="7D8706AE"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018478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85338 </w:t>
            </w:r>
          </w:p>
        </w:tc>
        <w:tc>
          <w:tcPr>
            <w:tcW w:w="0" w:type="auto"/>
          </w:tcPr>
          <w:p w14:paraId="7E7E06A5"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3D1F601"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87465 </w:t>
            </w:r>
          </w:p>
        </w:tc>
        <w:tc>
          <w:tcPr>
            <w:tcW w:w="0" w:type="auto"/>
          </w:tcPr>
          <w:p w14:paraId="68D76D30"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2B84A8B3"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92278 </w:t>
            </w:r>
          </w:p>
        </w:tc>
        <w:tc>
          <w:tcPr>
            <w:tcW w:w="0" w:type="auto"/>
          </w:tcPr>
          <w:p w14:paraId="1B48A1D6"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4C755B2B"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89029 </w:t>
            </w:r>
          </w:p>
        </w:tc>
        <w:tc>
          <w:tcPr>
            <w:tcW w:w="0" w:type="auto"/>
          </w:tcPr>
          <w:p w14:paraId="4D3764F3" w14:textId="77777777" w:rsidR="00C61E9A" w:rsidRPr="00C61E9A" w:rsidRDefault="00C61E9A" w:rsidP="00C61E9A">
            <w:pPr>
              <w:rPr>
                <w:rFonts w:ascii="Times New Roman" w:hAnsi="Times New Roman" w:cs="Times New Roman"/>
                <w:sz w:val="20"/>
                <w:szCs w:val="20"/>
              </w:rPr>
            </w:pPr>
            <w:r w:rsidRPr="00C61E9A">
              <w:rPr>
                <w:rFonts w:ascii="Times New Roman" w:hAnsi="Times New Roman" w:cs="Times New Roman"/>
                <w:sz w:val="20"/>
                <w:szCs w:val="20"/>
              </w:rPr>
              <w:t xml:space="preserve">   </w:t>
            </w:r>
          </w:p>
          <w:p w14:paraId="6128A06F" w14:textId="77777777" w:rsidR="00C61E9A" w:rsidRPr="00C61E9A" w:rsidRDefault="00C61E9A" w:rsidP="00C61E9A">
            <w:pPr>
              <w:spacing w:before="120"/>
              <w:jc w:val="left"/>
              <w:rPr>
                <w:rFonts w:ascii="Times New Roman" w:hAnsi="Times New Roman" w:cs="Times New Roman"/>
                <w:sz w:val="20"/>
                <w:szCs w:val="20"/>
              </w:rPr>
            </w:pPr>
            <w:r w:rsidRPr="00C61E9A">
              <w:rPr>
                <w:rFonts w:ascii="Times New Roman" w:hAnsi="Times New Roman" w:cs="Times New Roman"/>
                <w:sz w:val="20"/>
                <w:szCs w:val="20"/>
              </w:rPr>
              <w:t xml:space="preserve">3249 </w:t>
            </w:r>
          </w:p>
        </w:tc>
      </w:tr>
    </w:tbl>
    <w:p w14:paraId="7BEC0C4A" w14:textId="559920D0" w:rsidR="00C61E9A" w:rsidRPr="00C61E9A" w:rsidRDefault="00C61E9A" w:rsidP="00C61E9A">
      <w:pPr>
        <w:rPr>
          <w:rFonts w:ascii="Arial" w:eastAsiaTheme="minorHAnsi" w:hAnsi="Arial" w:cstheme="minorBidi"/>
          <w:sz w:val="20"/>
          <w:szCs w:val="20"/>
          <w:lang w:val="en-US" w:eastAsia="en-US"/>
        </w:rPr>
      </w:pPr>
    </w:p>
    <w:p w14:paraId="29A06AB2" w14:textId="77777777" w:rsidR="00C61E9A" w:rsidRPr="00C61E9A" w:rsidRDefault="00C61E9A" w:rsidP="00C61E9A">
      <w:pPr>
        <w:rPr>
          <w:lang w:eastAsia="en-US"/>
        </w:rPr>
      </w:pPr>
      <w:r w:rsidRPr="00C61E9A">
        <w:rPr>
          <w:lang w:eastAsia="en-US"/>
        </w:rPr>
        <w:t>16 регионов, в которых средняя зарплата превысила 100 000 рублей</w:t>
      </w:r>
    </w:p>
    <w:p w14:paraId="0A29F33A" w14:textId="77777777" w:rsidR="00C61E9A" w:rsidRPr="00C61E9A" w:rsidRDefault="00C61E9A" w:rsidP="00C61E9A">
      <w:pPr>
        <w:rPr>
          <w:lang w:eastAsia="en-US"/>
        </w:rPr>
      </w:pPr>
      <w:r w:rsidRPr="00C61E9A">
        <w:rPr>
          <w:lang w:eastAsia="en-US"/>
        </w:rPr>
        <w:t xml:space="preserve">Росстат определил регионы - лидеры, в которых средняя заработная плата превысила психологическую отметку в 100 000 рублей. В список вошли:  </w:t>
      </w:r>
    </w:p>
    <w:p w14:paraId="0664B344" w14:textId="77777777" w:rsidR="00C61E9A" w:rsidRPr="00C61E9A" w:rsidRDefault="00C61E9A" w:rsidP="00C61E9A">
      <w:pPr>
        <w:rPr>
          <w:lang w:eastAsia="en-US"/>
        </w:rPr>
      </w:pPr>
      <w:r w:rsidRPr="00C61E9A">
        <w:rPr>
          <w:lang w:eastAsia="en-US"/>
        </w:rPr>
        <w:t xml:space="preserve">Московская область - 116353 руб.; </w:t>
      </w:r>
    </w:p>
    <w:p w14:paraId="603DFE36" w14:textId="77777777" w:rsidR="00C61E9A" w:rsidRPr="00C61E9A" w:rsidRDefault="00C61E9A" w:rsidP="00C61E9A">
      <w:pPr>
        <w:rPr>
          <w:lang w:eastAsia="en-US"/>
        </w:rPr>
      </w:pPr>
      <w:r w:rsidRPr="00C61E9A">
        <w:rPr>
          <w:lang w:eastAsia="en-US"/>
        </w:rPr>
        <w:t xml:space="preserve">Москва - 171302 руб.; </w:t>
      </w:r>
    </w:p>
    <w:p w14:paraId="454E3489" w14:textId="77777777" w:rsidR="00C61E9A" w:rsidRPr="00C61E9A" w:rsidRDefault="00C61E9A" w:rsidP="00C61E9A">
      <w:pPr>
        <w:rPr>
          <w:lang w:eastAsia="en-US"/>
        </w:rPr>
      </w:pPr>
      <w:r w:rsidRPr="00C61E9A">
        <w:rPr>
          <w:lang w:eastAsia="en-US"/>
        </w:rPr>
        <w:t xml:space="preserve">Ненецкий автономный округ - 133653 руб.; </w:t>
      </w:r>
    </w:p>
    <w:p w14:paraId="64423A38" w14:textId="77777777" w:rsidR="00C61E9A" w:rsidRPr="00C61E9A" w:rsidRDefault="00C61E9A" w:rsidP="00C61E9A">
      <w:pPr>
        <w:rPr>
          <w:lang w:eastAsia="en-US"/>
        </w:rPr>
      </w:pPr>
      <w:r w:rsidRPr="00C61E9A">
        <w:rPr>
          <w:lang w:eastAsia="en-US"/>
        </w:rPr>
        <w:t xml:space="preserve">Мурманская область - 119698 руб.; </w:t>
      </w:r>
    </w:p>
    <w:p w14:paraId="5BC05700" w14:textId="77777777" w:rsidR="00C61E9A" w:rsidRPr="00C61E9A" w:rsidRDefault="00C61E9A" w:rsidP="00C61E9A">
      <w:pPr>
        <w:rPr>
          <w:lang w:eastAsia="en-US"/>
        </w:rPr>
      </w:pPr>
      <w:r w:rsidRPr="00C61E9A">
        <w:rPr>
          <w:lang w:eastAsia="en-US"/>
        </w:rPr>
        <w:t xml:space="preserve">Санкт-Петербург - 116764 руб.; </w:t>
      </w:r>
    </w:p>
    <w:p w14:paraId="7CD680F9" w14:textId="77777777" w:rsidR="00C61E9A" w:rsidRPr="00C61E9A" w:rsidRDefault="00C61E9A" w:rsidP="00C61E9A">
      <w:pPr>
        <w:rPr>
          <w:lang w:eastAsia="en-US"/>
        </w:rPr>
      </w:pPr>
      <w:r w:rsidRPr="00C61E9A">
        <w:rPr>
          <w:lang w:eastAsia="en-US"/>
        </w:rPr>
        <w:t xml:space="preserve">Тюменская область - 119553 руб.; </w:t>
      </w:r>
    </w:p>
    <w:p w14:paraId="4C1ED8D3" w14:textId="77777777" w:rsidR="00C61E9A" w:rsidRPr="00C61E9A" w:rsidRDefault="00C61E9A" w:rsidP="00C61E9A">
      <w:pPr>
        <w:rPr>
          <w:lang w:eastAsia="en-US"/>
        </w:rPr>
      </w:pPr>
      <w:r w:rsidRPr="00C61E9A">
        <w:rPr>
          <w:lang w:eastAsia="en-US"/>
        </w:rPr>
        <w:t xml:space="preserve">Ханты-Мансийский автономный округ - Югра - 120315 руб.; </w:t>
      </w:r>
    </w:p>
    <w:p w14:paraId="567106F8" w14:textId="77777777" w:rsidR="00C61E9A" w:rsidRPr="00C61E9A" w:rsidRDefault="00C61E9A" w:rsidP="00C61E9A">
      <w:pPr>
        <w:rPr>
          <w:lang w:eastAsia="en-US"/>
        </w:rPr>
      </w:pPr>
      <w:r w:rsidRPr="00C61E9A">
        <w:rPr>
          <w:lang w:eastAsia="en-US"/>
        </w:rPr>
        <w:t xml:space="preserve">Ямало-Ненецкий авт. округ - 157915 руб.; </w:t>
      </w:r>
    </w:p>
    <w:p w14:paraId="49253CA6" w14:textId="77777777" w:rsidR="00C61E9A" w:rsidRPr="00C61E9A" w:rsidRDefault="00C61E9A" w:rsidP="00C61E9A">
      <w:pPr>
        <w:rPr>
          <w:lang w:eastAsia="en-US"/>
        </w:rPr>
      </w:pPr>
      <w:r w:rsidRPr="00C61E9A">
        <w:rPr>
          <w:lang w:eastAsia="en-US"/>
        </w:rPr>
        <w:t xml:space="preserve">Красноярский край - 103946 руб.; </w:t>
      </w:r>
    </w:p>
    <w:p w14:paraId="34947D01" w14:textId="77777777" w:rsidR="00C61E9A" w:rsidRPr="00C61E9A" w:rsidRDefault="00C61E9A" w:rsidP="00C61E9A">
      <w:pPr>
        <w:rPr>
          <w:lang w:eastAsia="en-US"/>
        </w:rPr>
      </w:pPr>
      <w:r w:rsidRPr="00C61E9A">
        <w:rPr>
          <w:lang w:eastAsia="en-US"/>
        </w:rPr>
        <w:t xml:space="preserve">Республика Саха (Якутия) - 139623 руб.; </w:t>
      </w:r>
    </w:p>
    <w:p w14:paraId="3F8C5AE4" w14:textId="77777777" w:rsidR="00C61E9A" w:rsidRPr="00C61E9A" w:rsidRDefault="00C61E9A" w:rsidP="00C61E9A">
      <w:pPr>
        <w:rPr>
          <w:lang w:eastAsia="en-US"/>
        </w:rPr>
      </w:pPr>
      <w:r w:rsidRPr="00C61E9A">
        <w:rPr>
          <w:lang w:eastAsia="en-US"/>
        </w:rPr>
        <w:t xml:space="preserve">Забайкальский край - 103544 руб.; </w:t>
      </w:r>
    </w:p>
    <w:p w14:paraId="0687BA44" w14:textId="77777777" w:rsidR="00C61E9A" w:rsidRPr="00C61E9A" w:rsidRDefault="00C61E9A" w:rsidP="00C61E9A">
      <w:pPr>
        <w:rPr>
          <w:lang w:eastAsia="en-US"/>
        </w:rPr>
      </w:pPr>
      <w:r w:rsidRPr="00C61E9A">
        <w:rPr>
          <w:lang w:eastAsia="en-US"/>
        </w:rPr>
        <w:t xml:space="preserve">Камчатский край - 137347 руб.; </w:t>
      </w:r>
    </w:p>
    <w:p w14:paraId="20018996" w14:textId="77777777" w:rsidR="00C61E9A" w:rsidRPr="00C61E9A" w:rsidRDefault="00C61E9A" w:rsidP="00C61E9A">
      <w:pPr>
        <w:rPr>
          <w:lang w:eastAsia="en-US"/>
        </w:rPr>
      </w:pPr>
      <w:r w:rsidRPr="00C61E9A">
        <w:rPr>
          <w:lang w:eastAsia="en-US"/>
        </w:rPr>
        <w:t xml:space="preserve">Амурская область - 103471 руб.; </w:t>
      </w:r>
    </w:p>
    <w:p w14:paraId="760812E2" w14:textId="77777777" w:rsidR="00C61E9A" w:rsidRPr="00C61E9A" w:rsidRDefault="00C61E9A" w:rsidP="00C61E9A">
      <w:pPr>
        <w:rPr>
          <w:lang w:eastAsia="en-US"/>
        </w:rPr>
      </w:pPr>
      <w:r w:rsidRPr="00C61E9A">
        <w:rPr>
          <w:lang w:eastAsia="en-US"/>
        </w:rPr>
        <w:t xml:space="preserve">Магаданская область - 244130 руб.; </w:t>
      </w:r>
    </w:p>
    <w:p w14:paraId="2EC96EAD" w14:textId="77777777" w:rsidR="00C61E9A" w:rsidRPr="00C61E9A" w:rsidRDefault="00C61E9A" w:rsidP="00C61E9A">
      <w:pPr>
        <w:rPr>
          <w:lang w:eastAsia="en-US"/>
        </w:rPr>
      </w:pPr>
      <w:r w:rsidRPr="00C61E9A">
        <w:rPr>
          <w:lang w:eastAsia="en-US"/>
        </w:rPr>
        <w:t xml:space="preserve">Сахалинская область - 138905 руб.; </w:t>
      </w:r>
    </w:p>
    <w:p w14:paraId="00A79F05" w14:textId="77777777" w:rsidR="00C61E9A" w:rsidRPr="00C61E9A" w:rsidRDefault="00C61E9A" w:rsidP="00C61E9A">
      <w:pPr>
        <w:rPr>
          <w:lang w:eastAsia="en-US"/>
        </w:rPr>
      </w:pPr>
      <w:r w:rsidRPr="00C61E9A">
        <w:rPr>
          <w:lang w:eastAsia="en-US"/>
        </w:rPr>
        <w:t xml:space="preserve">Чукотский автономный округ - 211768 руб. </w:t>
      </w:r>
    </w:p>
    <w:p w14:paraId="75E02992" w14:textId="77777777" w:rsidR="004159CB" w:rsidRPr="004159CB" w:rsidRDefault="004159CB" w:rsidP="004159CB">
      <w:r w:rsidRPr="004159CB">
        <w:t>Средняя зарплата в Москве</w:t>
      </w:r>
    </w:p>
    <w:p w14:paraId="33A7B994" w14:textId="77777777" w:rsidR="004159CB" w:rsidRPr="004159CB" w:rsidRDefault="004159CB" w:rsidP="004159CB">
      <w:r w:rsidRPr="004159CB">
        <w:t>Средняя зарплата в Москве - 171 302 руб., это один из самых высоких показателей в стране благодаря концентрации головных офисов крупнейших компаний и финансового сектора.</w:t>
      </w:r>
    </w:p>
    <w:p w14:paraId="4487400D" w14:textId="77777777" w:rsidR="004159CB" w:rsidRPr="004159CB" w:rsidRDefault="004159CB" w:rsidP="004159CB">
      <w:r w:rsidRPr="004159CB">
        <w:t xml:space="preserve">Хорошая новость - москвичи начали зарабатывать больше 170 тыс. рублей. По данным Росстата начисленная заработная плата поднялась до 173 748 руб. в октябре 2025 года, в ноябре же сумма начислений чуть снизилась, но все равно осталась выше </w:t>
      </w:r>
      <w:r w:rsidRPr="004159CB">
        <w:lastRenderedPageBreak/>
        <w:t>психологической отметки в 170 тысяч. Эксперты рассчитали показатель, и он составил 171 302 руб.</w:t>
      </w:r>
    </w:p>
    <w:p w14:paraId="13B11209" w14:textId="77777777" w:rsidR="004159CB" w:rsidRPr="004159CB" w:rsidRDefault="004159CB" w:rsidP="004159CB">
      <w:r w:rsidRPr="004159CB">
        <w:t>Средняя зарплата в Московской области</w:t>
      </w:r>
    </w:p>
    <w:p w14:paraId="0B0D988C" w14:textId="77777777" w:rsidR="004159CB" w:rsidRPr="004159CB" w:rsidRDefault="004159CB" w:rsidP="004159CB">
      <w:r w:rsidRPr="004159CB">
        <w:t>Средняя зарплата в Московской области - 116 353 руб., она демонстрирует высокий уровень доходов в крупнейшем регионе-спутнике столицы.</w:t>
      </w:r>
    </w:p>
    <w:p w14:paraId="23A1EBF5" w14:textId="77777777" w:rsidR="004159CB" w:rsidRPr="004159CB" w:rsidRDefault="004159CB" w:rsidP="004159CB">
      <w:r w:rsidRPr="004159CB">
        <w:t>Средняя зарплата в Самаре</w:t>
      </w:r>
    </w:p>
    <w:p w14:paraId="15E5D938" w14:textId="77777777" w:rsidR="004159CB" w:rsidRPr="004159CB" w:rsidRDefault="004159CB" w:rsidP="004159CB">
      <w:r w:rsidRPr="004159CB">
        <w:t>Средняя зарплата в Самаре (Самарская область) - 75 184 руб., на что существенное влияние оказывают машиностроение и нефтехимическая промышленность региона.</w:t>
      </w:r>
    </w:p>
    <w:p w14:paraId="2DCAEA33" w14:textId="77777777" w:rsidR="004159CB" w:rsidRPr="004159CB" w:rsidRDefault="004159CB" w:rsidP="004159CB">
      <w:r w:rsidRPr="004159CB">
        <w:t>Средняя зарплата в Саратове</w:t>
      </w:r>
    </w:p>
    <w:p w14:paraId="5C876A7C" w14:textId="77777777" w:rsidR="004159CB" w:rsidRPr="004159CB" w:rsidRDefault="004159CB" w:rsidP="004159CB">
      <w:r w:rsidRPr="004159CB">
        <w:t>Средняя зарплата в Саратове (Саратовская область) - 67 737 руб., что отражает экономический профиль региона (промышленность, сельское хозяйство, энергетика).</w:t>
      </w:r>
    </w:p>
    <w:p w14:paraId="520D0D95" w14:textId="77777777" w:rsidR="004159CB" w:rsidRPr="004159CB" w:rsidRDefault="004159CB" w:rsidP="004159CB">
      <w:r w:rsidRPr="004159CB">
        <w:t>Средняя зарплата в Санкт-Петербурге</w:t>
      </w:r>
    </w:p>
    <w:p w14:paraId="59CEF49B" w14:textId="77777777" w:rsidR="004159CB" w:rsidRPr="004159CB" w:rsidRDefault="004159CB" w:rsidP="004159CB">
      <w:r w:rsidRPr="004159CB">
        <w:t>Средняя зарплата в Санкт-Петербурге - 116 764 руб., что подтверждает статус города как важнейшего экономического и культурного центра на Северо-Западе.</w:t>
      </w:r>
    </w:p>
    <w:p w14:paraId="738AB23A" w14:textId="77777777" w:rsidR="004159CB" w:rsidRPr="004159CB" w:rsidRDefault="004159CB" w:rsidP="004159CB">
      <w:r w:rsidRPr="004159CB">
        <w:t>Средняя зарплата в Новосибирске</w:t>
      </w:r>
    </w:p>
    <w:p w14:paraId="2AE445B2" w14:textId="77777777" w:rsidR="004159CB" w:rsidRPr="004159CB" w:rsidRDefault="004159CB" w:rsidP="004159CB">
      <w:r w:rsidRPr="004159CB">
        <w:t>Средняя зарплата в Новосибирске (Новосибирская область) - 86 823 руб., показатель формируется за счет развитого научного сектора, промышленности и логистики.</w:t>
      </w:r>
    </w:p>
    <w:p w14:paraId="1252836D" w14:textId="77777777" w:rsidR="004159CB" w:rsidRPr="004159CB" w:rsidRDefault="004159CB" w:rsidP="004159CB">
      <w:r w:rsidRPr="004159CB">
        <w:t>Средняя зарплата в Новгороде</w:t>
      </w:r>
    </w:p>
    <w:p w14:paraId="0288A433" w14:textId="77777777" w:rsidR="004159CB" w:rsidRPr="004159CB" w:rsidRDefault="004159CB" w:rsidP="004159CB">
      <w:r w:rsidRPr="004159CB">
        <w:t>Средняя зарплата в Новгороде (Новгородская область) - 71 440 руб., что соответствует среднероссийскому уровню.</w:t>
      </w:r>
    </w:p>
    <w:p w14:paraId="4F0FE376" w14:textId="77777777" w:rsidR="004159CB" w:rsidRPr="004159CB" w:rsidRDefault="004159CB" w:rsidP="004159CB">
      <w:r w:rsidRPr="004159CB">
        <w:t>Средняя зарплата в Екатеринбурге</w:t>
      </w:r>
    </w:p>
    <w:p w14:paraId="2F9602C8" w14:textId="77777777" w:rsidR="004159CB" w:rsidRPr="004159CB" w:rsidRDefault="004159CB" w:rsidP="004159CB">
      <w:r w:rsidRPr="004159CB">
        <w:t>Средняя зарплата в Екатеринбурге (Свердловская область) - 88 114 руб., что связано с мощным промышленным и деловым потенциалом уральской столицы.</w:t>
      </w:r>
    </w:p>
    <w:p w14:paraId="28F58621" w14:textId="77777777" w:rsidR="004159CB" w:rsidRPr="004159CB" w:rsidRDefault="004159CB" w:rsidP="004159CB">
      <w:r w:rsidRPr="004159CB">
        <w:t>Средняя зарплата в Ростовской области</w:t>
      </w:r>
    </w:p>
    <w:p w14:paraId="6E2760CC" w14:textId="77777777" w:rsidR="004159CB" w:rsidRPr="004159CB" w:rsidRDefault="004159CB" w:rsidP="004159CB">
      <w:r w:rsidRPr="004159CB">
        <w:t>Средняя зарплата в Ростовской области - 71 764 руб., что характерно для одного из ключевых экономических центров Юга России.</w:t>
      </w:r>
    </w:p>
    <w:p w14:paraId="77B976E1" w14:textId="77777777" w:rsidR="004159CB" w:rsidRPr="004159CB" w:rsidRDefault="004159CB" w:rsidP="004159CB">
      <w:r w:rsidRPr="004159CB">
        <w:t>Средняя зарплата в Красноярске</w:t>
      </w:r>
    </w:p>
    <w:p w14:paraId="211290D9" w14:textId="77777777" w:rsidR="004159CB" w:rsidRPr="004159CB" w:rsidRDefault="004159CB" w:rsidP="004159CB">
      <w:r w:rsidRPr="004159CB">
        <w:t>Средняя зарплата в Красноярске (Красноярский край) - 103 946 руб., что объясняется высокой долей добывающей промышленности и металлургии в экономике региона.</w:t>
      </w:r>
    </w:p>
    <w:p w14:paraId="604B9917" w14:textId="77777777" w:rsidR="004159CB" w:rsidRPr="004159CB" w:rsidRDefault="004159CB" w:rsidP="004159CB">
      <w:r w:rsidRPr="004159CB">
        <w:t>Средняя зарплата в Краснодаре</w:t>
      </w:r>
    </w:p>
    <w:p w14:paraId="4F3CF367" w14:textId="77777777" w:rsidR="004159CB" w:rsidRPr="004159CB" w:rsidRDefault="004159CB" w:rsidP="004159CB">
      <w:r w:rsidRPr="004159CB">
        <w:t>Средняя зарплата в Краснодаре (Краснодарский край) - 75 178 руб., при этом уровень сдерживается высокой долей занятости в аграрном секторе и сфере услуг.</w:t>
      </w:r>
    </w:p>
    <w:p w14:paraId="70528D68" w14:textId="77777777" w:rsidR="004159CB" w:rsidRPr="004159CB" w:rsidRDefault="004159CB" w:rsidP="004159CB">
      <w:r w:rsidRPr="004159CB">
        <w:t>Средняя зарплата в Воронеже</w:t>
      </w:r>
    </w:p>
    <w:p w14:paraId="2A07CA90" w14:textId="77777777" w:rsidR="004159CB" w:rsidRPr="004159CB" w:rsidRDefault="004159CB" w:rsidP="004159CB">
      <w:r w:rsidRPr="004159CB">
        <w:t>Средняя зарплата в Воронеже - 75 490 рублей. Основная причина - сочетание промышленности с большой долей сельского хозяйства и бюджетного сектора с невысоким уровнем оплаты.</w:t>
      </w:r>
    </w:p>
    <w:p w14:paraId="07F2D2DA" w14:textId="77777777" w:rsidR="004159CB" w:rsidRPr="004159CB" w:rsidRDefault="004159CB" w:rsidP="004159CB">
      <w:r w:rsidRPr="004159CB">
        <w:t>Средняя зарплата в Челябинске</w:t>
      </w:r>
    </w:p>
    <w:p w14:paraId="098FB530" w14:textId="77777777" w:rsidR="004159CB" w:rsidRPr="004159CB" w:rsidRDefault="004159CB" w:rsidP="004159CB">
      <w:r w:rsidRPr="004159CB">
        <w:lastRenderedPageBreak/>
        <w:t>Средняя зарплата в Челябинске - 80 799 рублей. Объясняется структурой экономики: высокая зарплата в металлургии компенсируется более низкой в обрабатывающих отраслях и бюджетной сфере.</w:t>
      </w:r>
    </w:p>
    <w:p w14:paraId="6926AA8E" w14:textId="77777777" w:rsidR="004159CB" w:rsidRPr="004159CB" w:rsidRDefault="004159CB" w:rsidP="004159CB">
      <w:r w:rsidRPr="004159CB">
        <w:t>Средняя зарплата в Казани</w:t>
      </w:r>
    </w:p>
    <w:p w14:paraId="0B6A0BAA" w14:textId="77777777" w:rsidR="004159CB" w:rsidRPr="004159CB" w:rsidRDefault="004159CB" w:rsidP="004159CB">
      <w:r w:rsidRPr="004159CB">
        <w:t xml:space="preserve">Средняя зарплата в Казани - 95 729 рублей. Высокий доход обеспечивает диверсифицированная экономика: нефтехимия, </w:t>
      </w:r>
      <w:r w:rsidRPr="004159CB">
        <w:rPr>
          <w:lang w:val="en-US"/>
        </w:rPr>
        <w:t>IT</w:t>
      </w:r>
      <w:r w:rsidRPr="004159CB">
        <w:t>, машиностроение и статус столицы региона.</w:t>
      </w:r>
    </w:p>
    <w:p w14:paraId="7E4E38D1" w14:textId="77777777" w:rsidR="004159CB" w:rsidRPr="004159CB" w:rsidRDefault="004159CB" w:rsidP="004159CB">
      <w:r w:rsidRPr="004159CB">
        <w:t>Средняя зарплата в Омске</w:t>
      </w:r>
    </w:p>
    <w:p w14:paraId="19E6B5BF" w14:textId="77777777" w:rsidR="004159CB" w:rsidRPr="004159CB" w:rsidRDefault="004159CB" w:rsidP="004159CB">
      <w:r w:rsidRPr="004159CB">
        <w:t>Средняя зарплата в Омске - 71 455 рублей. Низкий показатель связан со стагнацией промышленности и высокой долей низкооплачиваемых отраслей - сельского хозяйства, торговли и бюджетной сферы.</w:t>
      </w:r>
    </w:p>
    <w:p w14:paraId="42D7119D" w14:textId="77777777" w:rsidR="004159CB" w:rsidRPr="004159CB" w:rsidRDefault="004159CB" w:rsidP="004159CB">
      <w:r w:rsidRPr="004159CB">
        <w:t>Средняя зарплата в Тюмени</w:t>
      </w:r>
    </w:p>
    <w:p w14:paraId="4FCB9AD6" w14:textId="77777777" w:rsidR="004159CB" w:rsidRPr="004159CB" w:rsidRDefault="004159CB" w:rsidP="004159CB">
      <w:r w:rsidRPr="004159CB">
        <w:t>Средняя зарплата в Тюмени - 89 245 рублей. Относительно высокий уровень сохраняется благодаря статусу нефтегазового центра, развитым услугам, строительству и транспортной логистике.</w:t>
      </w:r>
    </w:p>
    <w:p w14:paraId="50FFE5AC" w14:textId="77777777" w:rsidR="004159CB" w:rsidRPr="004159CB" w:rsidRDefault="004159CB" w:rsidP="004159CB">
      <w:r w:rsidRPr="004159CB">
        <w:t>Средняя зарплата и пенсия: взаимосвязь в 2026 году</w:t>
      </w:r>
    </w:p>
    <w:p w14:paraId="041AE0D6" w14:textId="77777777" w:rsidR="004159CB" w:rsidRPr="004159CB" w:rsidRDefault="004159CB" w:rsidP="004159CB">
      <w:r w:rsidRPr="004159CB">
        <w:t>Взаимосвязь между средней заработной платой и размером пенсии заложена в самой формуле пенсионного обеспечения. Чем выше официальная зарплата, с которой работодатель уплачивает страховые взносы в СФР, тем больше формируется пенсионных баллов (индивидуальных пенсионных коэффициентов - ИПК), которые напрямую определяют будущую страховую пенсию.</w:t>
      </w:r>
    </w:p>
    <w:p w14:paraId="1630340E" w14:textId="77777777" w:rsidR="004159CB" w:rsidRPr="004159CB" w:rsidRDefault="004159CB" w:rsidP="004159CB">
      <w:r w:rsidRPr="004159CB">
        <w:t>Однако для отдельного человека решающее значение имеет не общероссийский показатель, а его личный официальный доход на протяжении всей трудовой деятельности: высокая «белая» зарплата сегодня - это гарантия достойной пенсии завтра.</w:t>
      </w:r>
    </w:p>
    <w:p w14:paraId="5249CD69" w14:textId="77777777" w:rsidR="004159CB" w:rsidRPr="004159CB" w:rsidRDefault="004159CB" w:rsidP="004159CB">
      <w:r w:rsidRPr="004159CB">
        <w:t>Главная задача проверяющих - убедиться, что оплата труда каждого работника соответствует МРОТ, региональному и отраслевому минимумам. Если инспекция запросила пояснения о низком уровне зарплат или сокращении штата, дайте официальный ответ. Используйте готовые шаблоны из образцов ниже.</w:t>
      </w:r>
    </w:p>
    <w:p w14:paraId="745A0431" w14:textId="77777777" w:rsidR="004159CB" w:rsidRPr="004159CB" w:rsidRDefault="004159CB" w:rsidP="004159CB">
      <w:r w:rsidRPr="004159CB">
        <w:t>Пояснения по численности и зарплате ниже отраслевой и МРОТ в ИФНС</w:t>
      </w:r>
    </w:p>
    <w:p w14:paraId="3C5FBDD8" w14:textId="77777777" w:rsidR="004159CB" w:rsidRPr="004159CB" w:rsidRDefault="004159CB" w:rsidP="004159CB">
      <w:r w:rsidRPr="004159CB">
        <w:t>Президент подписал закон о рекордном повышении МРОТ с 1 января 2026 года. В каждом регионе минимальная зарплата разный - для удобства мы составили таблицу МРОТ-2026 по всем регионам. Разберем, какой будет с 1 января МРОТ в 2026 году в России.</w:t>
      </w:r>
    </w:p>
    <w:p w14:paraId="4002CC7A" w14:textId="77777777" w:rsidR="004159CB" w:rsidRPr="004159CB" w:rsidRDefault="004159CB" w:rsidP="004159CB">
      <w:r w:rsidRPr="004159CB">
        <w:t>Зачем бухгалтеру знать среднюю зарплату по регионам</w:t>
      </w:r>
    </w:p>
    <w:p w14:paraId="466B4953" w14:textId="77777777" w:rsidR="004159CB" w:rsidRPr="004159CB" w:rsidRDefault="004159CB" w:rsidP="004159CB">
      <w:r w:rsidRPr="004159CB">
        <w:t>ФНС сопоставляет зарплату в организации со среднеотраслевыми значениями по региону. Отклонение более чем на 35% в меньшую сторону формирует рисковый профиль и может привести к вызову на зарплатную комиссию.</w:t>
      </w:r>
    </w:p>
    <w:p w14:paraId="1CE8C94D" w14:textId="77777777" w:rsidR="004159CB" w:rsidRPr="004159CB" w:rsidRDefault="004159CB" w:rsidP="004159CB">
      <w:r w:rsidRPr="004159CB">
        <w:t>Ориентация на региональные показатели позволяет формировать конкурентоспособные условия оплаты труда и снижать текучесть кадров.</w:t>
      </w:r>
    </w:p>
    <w:p w14:paraId="297F41C7" w14:textId="77777777" w:rsidR="004159CB" w:rsidRPr="004159CB" w:rsidRDefault="004159CB" w:rsidP="004159CB">
      <w:r w:rsidRPr="004159CB">
        <w:lastRenderedPageBreak/>
        <w:t>Знание официальных данных упрощает подготовку пояснений при запросах ИФНС и трудовой инспекции.</w:t>
      </w:r>
    </w:p>
    <w:p w14:paraId="120B289E" w14:textId="77777777" w:rsidR="004159CB" w:rsidRPr="004159CB" w:rsidRDefault="004159CB" w:rsidP="004159CB">
      <w:r w:rsidRPr="004159CB">
        <w:t>НК не устанавливает, при каких обстоятельствах руководитель инспекции (его заместитель) может принять решение о проведении выездной проверки в организации. Вместе с тем, приказом ФНС от 30.05.2007 № ММ-3-06/333 утверждена Концепция системы планирования выездных проверок и определены критерии, по которым производится отбор организаций для назначения в них выездных проверок (приказ ФНС от 30.05.2007 № ММ-3-06/333). Средняя зарплата в организации ниже среднего уровня по виду экономической деятельности - один из них. Все критерии для назначения выездной налоговой проверки смотрите в Системе Главбух.</w:t>
      </w:r>
    </w:p>
    <w:p w14:paraId="5121E726" w14:textId="77777777" w:rsidR="004159CB" w:rsidRPr="004159CB" w:rsidRDefault="004159CB" w:rsidP="004159CB">
      <w:r w:rsidRPr="004159CB">
        <w:t>Система Главбух Плюс - это справочная система и обучение для всей бухгалтерии. Премиальная версия вашей любимой справочной системы с онлайн-обучением и многопользовательским доступом.</w:t>
      </w:r>
    </w:p>
    <w:p w14:paraId="1CAD8E06" w14:textId="77777777" w:rsidR="004159CB" w:rsidRPr="004159CB" w:rsidRDefault="004159CB" w:rsidP="004159CB">
      <w:r w:rsidRPr="004159CB">
        <w:t>Где найти официальные данные о средней начисленной зарплате 2026: инструкция</w:t>
      </w:r>
    </w:p>
    <w:p w14:paraId="492E4143" w14:textId="77777777" w:rsidR="004159CB" w:rsidRPr="004159CB" w:rsidRDefault="004159CB" w:rsidP="004159CB">
      <w:r w:rsidRPr="004159CB">
        <w:t>Актуальные данные о средней заработной плате публикует Росстат на своем сайте в разделе «Рынок труда, занятость и заработная плата». Официальную статистику по заработной плате также можно найти на портале государственной статистики ЕМИСС.</w:t>
      </w:r>
    </w:p>
    <w:p w14:paraId="0E8A9351" w14:textId="77777777" w:rsidR="004159CB" w:rsidRPr="004159CB" w:rsidRDefault="004159CB" w:rsidP="004159CB">
      <w:r w:rsidRPr="004159CB">
        <w:t>Для анализа среднеотраслевых показателей по вашему региону используйте сервис ФНС «Прозрачный бизнес».</w:t>
      </w:r>
    </w:p>
    <w:p w14:paraId="75423415" w14:textId="77777777" w:rsidR="004159CB" w:rsidRPr="004159CB" w:rsidRDefault="004159CB" w:rsidP="004159CB">
      <w:r w:rsidRPr="004159CB">
        <w:t>Это самый важный для работодателя источник. Инспекторы используют для анализа не столько общую статистику, сколько данные из сервиса «Прозрачный бизнес» (раздел «Налоговый калькулятор»). Система автоматически рассчитывает средние значения для конкретного сочетания «регион + вид экономической деятельности (ОКВЭД) + размер бизнеса» на основе отчетности 6-НДФЛ и Расчетов по страховым взносам. Именно с этими цифрами будет сравниваться ваш ФОТ.</w:t>
      </w:r>
    </w:p>
    <w:p w14:paraId="07D50989" w14:textId="77777777" w:rsidR="004159CB" w:rsidRPr="00850ED7" w:rsidRDefault="004159CB" w:rsidP="004159CB">
      <w:r w:rsidRPr="004159CB">
        <w:t xml:space="preserve">Часто задаваемые вопросы про среднюю </w:t>
      </w:r>
      <w:r w:rsidRPr="00850ED7">
        <w:t>зарплату в РФ</w:t>
      </w:r>
    </w:p>
    <w:p w14:paraId="12DB82A5" w14:textId="77777777" w:rsidR="004159CB" w:rsidRPr="004159CB" w:rsidRDefault="004159CB" w:rsidP="004159CB">
      <w:r w:rsidRPr="004159CB">
        <w:t>Какая средняя зарплата в России в 2026 году?</w:t>
      </w:r>
    </w:p>
    <w:p w14:paraId="0A2FBE6C" w14:textId="77777777" w:rsidR="004159CB" w:rsidRPr="004159CB" w:rsidRDefault="004159CB" w:rsidP="004159CB">
      <w:r w:rsidRPr="004159CB">
        <w:t>Средняя зарплата в России - 98 193 руб. в месяц по данным Росстата.</w:t>
      </w:r>
    </w:p>
    <w:p w14:paraId="64A8FDD7" w14:textId="77777777" w:rsidR="004159CB" w:rsidRPr="004159CB" w:rsidRDefault="004159CB" w:rsidP="004159CB">
      <w:r w:rsidRPr="004159CB">
        <w:t>Обязан ли работодатель платить не ниже средней зарплаты по региону?</w:t>
      </w:r>
    </w:p>
    <w:p w14:paraId="421EFB52" w14:textId="77777777" w:rsidR="004159CB" w:rsidRPr="004159CB" w:rsidRDefault="004159CB" w:rsidP="004159CB">
      <w:r w:rsidRPr="004159CB">
        <w:t>Нет. Закон требует соблюдать МРОТ, но при этом отклонение от средней зарплаты повышает налоговые риски.</w:t>
      </w:r>
    </w:p>
    <w:p w14:paraId="399C46F1" w14:textId="77777777" w:rsidR="004159CB" w:rsidRPr="004159CB" w:rsidRDefault="004159CB" w:rsidP="004159CB">
      <w:r w:rsidRPr="004159CB">
        <w:t>Можно ли использовать данные о средней зарплате в бухгалтерских расчетах?</w:t>
      </w:r>
    </w:p>
    <w:p w14:paraId="3B5A5056" w14:textId="77777777" w:rsidR="004159CB" w:rsidRPr="004159CB" w:rsidRDefault="004159CB" w:rsidP="004159CB">
      <w:r w:rsidRPr="004159CB">
        <w:t>Да, как ориентир для анализа, отчетности и подготовки пояснений в ФНС.</w:t>
      </w:r>
    </w:p>
    <w:p w14:paraId="12C8C358" w14:textId="77777777" w:rsidR="004159CB" w:rsidRPr="004159CB" w:rsidRDefault="004159CB" w:rsidP="004159CB">
      <w:r w:rsidRPr="004159CB">
        <w:t>Что делать, если средняя зарплата в организации ниже среднеотраслевой по региону?</w:t>
      </w:r>
    </w:p>
    <w:p w14:paraId="3AFAC11D" w14:textId="77777777" w:rsidR="004159CB" w:rsidRPr="00850ED7" w:rsidRDefault="004159CB" w:rsidP="004159CB">
      <w:r w:rsidRPr="004159CB">
        <w:t xml:space="preserve">Низкая средняя зарплата в организации - сигнал о повышенном налоговом риске. Подготовьте экономическое обоснование (например, низкая </w:t>
      </w:r>
      <w:proofErr w:type="spellStart"/>
      <w:r w:rsidRPr="004159CB">
        <w:t>маржинальность</w:t>
      </w:r>
      <w:proofErr w:type="spellEnd"/>
      <w:r w:rsidRPr="004159CB">
        <w:t xml:space="preserve"> в отрасли, стартовый период компании, высокий процент стажеров). Используйте данные из сервиса ФНС «Прозрачный бизнес» для точного сравнения и будьте готовы представить пояснения по первому требованию </w:t>
      </w:r>
      <w:r w:rsidRPr="00850ED7">
        <w:t>ИФНС.</w:t>
      </w:r>
    </w:p>
    <w:p w14:paraId="40CF4D94" w14:textId="77777777" w:rsidR="004159CB" w:rsidRPr="004159CB" w:rsidRDefault="004159CB" w:rsidP="004159CB">
      <w:r w:rsidRPr="004159CB">
        <w:t>Таблица средней зарплаты по регионам России в 2026 году*</w:t>
      </w:r>
    </w:p>
    <w:p w14:paraId="6BDFEAA6" w14:textId="77777777" w:rsidR="004159CB" w:rsidRPr="004159CB" w:rsidRDefault="004159CB" w:rsidP="004159CB">
      <w:r w:rsidRPr="004159CB">
        <w:lastRenderedPageBreak/>
        <w:t xml:space="preserve">* </w:t>
      </w:r>
      <w:proofErr w:type="gramStart"/>
      <w:r w:rsidRPr="004159CB">
        <w:t>В</w:t>
      </w:r>
      <w:proofErr w:type="gramEnd"/>
      <w:r w:rsidRPr="004159CB">
        <w:t xml:space="preserve"> таблице не учитываются данные по ДНР, ЛНР, Запорожской и Херсонской областям.</w:t>
      </w:r>
    </w:p>
    <w:p w14:paraId="0839D1E0" w14:textId="77777777" w:rsidR="004159CB" w:rsidRPr="004159CB" w:rsidRDefault="004159CB" w:rsidP="004159CB">
      <w:r w:rsidRPr="004159CB">
        <w:t xml:space="preserve">   Среднемесячная номинальная начисленная заработная плата работников по полному кругу организаций по субъектам Российской Федерации, рублей</w:t>
      </w:r>
    </w:p>
    <w:p w14:paraId="2D3543AF" w14:textId="77777777" w:rsidR="004159CB" w:rsidRPr="004159CB" w:rsidRDefault="004159CB" w:rsidP="004159CB">
      <w:r w:rsidRPr="004159CB">
        <w:t xml:space="preserve">    Российская Федерация</w:t>
      </w:r>
      <w:r w:rsidRPr="004159CB">
        <w:tab/>
        <w:t xml:space="preserve">   98193</w:t>
      </w:r>
    </w:p>
    <w:p w14:paraId="6F726B16" w14:textId="77777777" w:rsidR="004159CB" w:rsidRPr="004159CB" w:rsidRDefault="004159CB" w:rsidP="004159CB">
      <w:r w:rsidRPr="004159CB">
        <w:t xml:space="preserve">    Центральный федеральный округ</w:t>
      </w:r>
      <w:r w:rsidRPr="004159CB">
        <w:tab/>
        <w:t xml:space="preserve">   123489</w:t>
      </w:r>
    </w:p>
    <w:p w14:paraId="13831505" w14:textId="77777777" w:rsidR="004159CB" w:rsidRPr="004159CB" w:rsidRDefault="004159CB" w:rsidP="004159CB">
      <w:r w:rsidRPr="004159CB">
        <w:t xml:space="preserve">    Белгородская область</w:t>
      </w:r>
      <w:r w:rsidRPr="004159CB">
        <w:tab/>
        <w:t xml:space="preserve">   73309</w:t>
      </w:r>
    </w:p>
    <w:p w14:paraId="26CA1531" w14:textId="77777777" w:rsidR="004159CB" w:rsidRPr="004159CB" w:rsidRDefault="004159CB" w:rsidP="004159CB">
      <w:r w:rsidRPr="004159CB">
        <w:t xml:space="preserve">    Брянская область</w:t>
      </w:r>
      <w:r w:rsidRPr="004159CB">
        <w:tab/>
        <w:t xml:space="preserve">   66930</w:t>
      </w:r>
    </w:p>
    <w:p w14:paraId="319BD15E" w14:textId="77777777" w:rsidR="004159CB" w:rsidRPr="004159CB" w:rsidRDefault="004159CB" w:rsidP="004159CB">
      <w:r w:rsidRPr="004159CB">
        <w:t xml:space="preserve">    Владимирская область</w:t>
      </w:r>
      <w:r w:rsidRPr="004159CB">
        <w:tab/>
        <w:t xml:space="preserve">   73278</w:t>
      </w:r>
    </w:p>
    <w:p w14:paraId="41BBD173" w14:textId="77777777" w:rsidR="004159CB" w:rsidRPr="004159CB" w:rsidRDefault="004159CB" w:rsidP="004159CB">
      <w:r w:rsidRPr="004159CB">
        <w:t xml:space="preserve">    Воронежская область</w:t>
      </w:r>
      <w:r w:rsidRPr="004159CB">
        <w:tab/>
        <w:t xml:space="preserve">   75490</w:t>
      </w:r>
    </w:p>
    <w:p w14:paraId="5D5EFB7F" w14:textId="77777777" w:rsidR="004159CB" w:rsidRPr="004159CB" w:rsidRDefault="004159CB" w:rsidP="004159CB">
      <w:r w:rsidRPr="004159CB">
        <w:t xml:space="preserve">    Ивановская область</w:t>
      </w:r>
      <w:r w:rsidRPr="004159CB">
        <w:tab/>
        <w:t xml:space="preserve">   57035</w:t>
      </w:r>
    </w:p>
    <w:p w14:paraId="1FE3255C" w14:textId="77777777" w:rsidR="004159CB" w:rsidRPr="004159CB" w:rsidRDefault="004159CB" w:rsidP="004159CB">
      <w:r w:rsidRPr="004159CB">
        <w:t xml:space="preserve">    Калужская область</w:t>
      </w:r>
      <w:r w:rsidRPr="004159CB">
        <w:tab/>
        <w:t xml:space="preserve">   85000</w:t>
      </w:r>
    </w:p>
    <w:p w14:paraId="681CF550" w14:textId="77777777" w:rsidR="004159CB" w:rsidRPr="004159CB" w:rsidRDefault="004159CB" w:rsidP="004159CB">
      <w:r w:rsidRPr="004159CB">
        <w:t xml:space="preserve">    Костромская область</w:t>
      </w:r>
      <w:r w:rsidRPr="004159CB">
        <w:tab/>
        <w:t xml:space="preserve">   61345</w:t>
      </w:r>
    </w:p>
    <w:p w14:paraId="39FBF56D" w14:textId="77777777" w:rsidR="004159CB" w:rsidRPr="004159CB" w:rsidRDefault="004159CB" w:rsidP="004159CB">
      <w:r w:rsidRPr="004159CB">
        <w:t xml:space="preserve">    Курская область</w:t>
      </w:r>
      <w:r w:rsidRPr="004159CB">
        <w:tab/>
        <w:t xml:space="preserve">   74963</w:t>
      </w:r>
    </w:p>
    <w:p w14:paraId="120317A3" w14:textId="77777777" w:rsidR="004159CB" w:rsidRPr="004159CB" w:rsidRDefault="004159CB" w:rsidP="004159CB">
      <w:r w:rsidRPr="004159CB">
        <w:t xml:space="preserve">    Липецкая область</w:t>
      </w:r>
      <w:r w:rsidRPr="004159CB">
        <w:tab/>
        <w:t xml:space="preserve">   77720</w:t>
      </w:r>
    </w:p>
    <w:p w14:paraId="1BAE952B" w14:textId="77777777" w:rsidR="004159CB" w:rsidRPr="004159CB" w:rsidRDefault="004159CB" w:rsidP="004159CB">
      <w:r w:rsidRPr="004159CB">
        <w:t xml:space="preserve">    Московская область</w:t>
      </w:r>
      <w:r w:rsidRPr="004159CB">
        <w:tab/>
        <w:t xml:space="preserve">   116353</w:t>
      </w:r>
    </w:p>
    <w:p w14:paraId="139D5B01" w14:textId="77777777" w:rsidR="004159CB" w:rsidRPr="004159CB" w:rsidRDefault="004159CB" w:rsidP="004159CB">
      <w:r w:rsidRPr="004159CB">
        <w:t xml:space="preserve">    Орловская область</w:t>
      </w:r>
      <w:r w:rsidRPr="004159CB">
        <w:tab/>
        <w:t xml:space="preserve">   63053</w:t>
      </w:r>
    </w:p>
    <w:p w14:paraId="16B8FAAD" w14:textId="77777777" w:rsidR="004159CB" w:rsidRPr="004159CB" w:rsidRDefault="004159CB" w:rsidP="004159CB">
      <w:r w:rsidRPr="004159CB">
        <w:t xml:space="preserve">    Рязанская область</w:t>
      </w:r>
      <w:r w:rsidRPr="004159CB">
        <w:tab/>
        <w:t xml:space="preserve">   73115</w:t>
      </w:r>
    </w:p>
    <w:p w14:paraId="517572FF" w14:textId="77777777" w:rsidR="004159CB" w:rsidRPr="004159CB" w:rsidRDefault="004159CB" w:rsidP="004159CB">
      <w:r w:rsidRPr="004159CB">
        <w:t xml:space="preserve">    Смоленская область</w:t>
      </w:r>
      <w:r w:rsidRPr="004159CB">
        <w:tab/>
        <w:t xml:space="preserve">   67984</w:t>
      </w:r>
    </w:p>
    <w:p w14:paraId="21C98AAA" w14:textId="77777777" w:rsidR="004159CB" w:rsidRPr="004159CB" w:rsidRDefault="004159CB" w:rsidP="004159CB">
      <w:r w:rsidRPr="004159CB">
        <w:t xml:space="preserve">    Тамбовская область</w:t>
      </w:r>
      <w:r w:rsidRPr="004159CB">
        <w:tab/>
        <w:t xml:space="preserve">   65503</w:t>
      </w:r>
    </w:p>
    <w:p w14:paraId="4BD9500F" w14:textId="77777777" w:rsidR="004159CB" w:rsidRPr="004159CB" w:rsidRDefault="004159CB" w:rsidP="004159CB">
      <w:r w:rsidRPr="004159CB">
        <w:t xml:space="preserve">    Тверская область</w:t>
      </w:r>
      <w:r w:rsidRPr="004159CB">
        <w:tab/>
        <w:t xml:space="preserve">   72191</w:t>
      </w:r>
    </w:p>
    <w:p w14:paraId="6AE1210B" w14:textId="77777777" w:rsidR="004159CB" w:rsidRPr="004159CB" w:rsidRDefault="004159CB" w:rsidP="004159CB">
      <w:r w:rsidRPr="004159CB">
        <w:t xml:space="preserve">    Тульская область</w:t>
      </w:r>
      <w:r w:rsidRPr="004159CB">
        <w:tab/>
        <w:t xml:space="preserve">   82366</w:t>
      </w:r>
    </w:p>
    <w:p w14:paraId="59BD9BC7" w14:textId="77777777" w:rsidR="004159CB" w:rsidRPr="004159CB" w:rsidRDefault="004159CB" w:rsidP="004159CB">
      <w:r w:rsidRPr="004159CB">
        <w:t xml:space="preserve">    Ярославская область</w:t>
      </w:r>
      <w:r w:rsidRPr="004159CB">
        <w:tab/>
        <w:t xml:space="preserve">   74634</w:t>
      </w:r>
    </w:p>
    <w:p w14:paraId="5A0E1A00" w14:textId="77777777" w:rsidR="004159CB" w:rsidRPr="004159CB" w:rsidRDefault="004159CB" w:rsidP="004159CB">
      <w:r w:rsidRPr="004159CB">
        <w:t xml:space="preserve">    </w:t>
      </w:r>
      <w:proofErr w:type="spellStart"/>
      <w:r w:rsidRPr="004159CB">
        <w:t>г.Москва</w:t>
      </w:r>
      <w:proofErr w:type="spellEnd"/>
      <w:r w:rsidRPr="004159CB">
        <w:t xml:space="preserve"> </w:t>
      </w:r>
      <w:r w:rsidRPr="004159CB">
        <w:tab/>
        <w:t xml:space="preserve">   171302</w:t>
      </w:r>
    </w:p>
    <w:p w14:paraId="6A0863BD" w14:textId="77777777" w:rsidR="004159CB" w:rsidRPr="004159CB" w:rsidRDefault="004159CB" w:rsidP="004159CB">
      <w:r w:rsidRPr="004159CB">
        <w:t xml:space="preserve">    Северо-Западный федеральный округ</w:t>
      </w:r>
      <w:r w:rsidRPr="004159CB">
        <w:tab/>
        <w:t xml:space="preserve">   101422</w:t>
      </w:r>
    </w:p>
    <w:p w14:paraId="5EE73F85" w14:textId="77777777" w:rsidR="004159CB" w:rsidRPr="004159CB" w:rsidRDefault="004159CB" w:rsidP="004159CB">
      <w:r w:rsidRPr="004159CB">
        <w:t xml:space="preserve">    Республика Карелия</w:t>
      </w:r>
      <w:r w:rsidRPr="004159CB">
        <w:tab/>
        <w:t xml:space="preserve">   78411</w:t>
      </w:r>
    </w:p>
    <w:p w14:paraId="687CC6CD" w14:textId="77777777" w:rsidR="004159CB" w:rsidRPr="004159CB" w:rsidRDefault="004159CB" w:rsidP="004159CB">
      <w:r w:rsidRPr="004159CB">
        <w:t xml:space="preserve">    Республика Коми</w:t>
      </w:r>
      <w:r w:rsidRPr="004159CB">
        <w:tab/>
        <w:t xml:space="preserve">   89473</w:t>
      </w:r>
    </w:p>
    <w:p w14:paraId="15E39F7C" w14:textId="77777777" w:rsidR="004159CB" w:rsidRPr="004159CB" w:rsidRDefault="004159CB" w:rsidP="004159CB">
      <w:r w:rsidRPr="004159CB">
        <w:t xml:space="preserve">    Архангельская область</w:t>
      </w:r>
      <w:r w:rsidRPr="004159CB">
        <w:tab/>
        <w:t xml:space="preserve">   92340</w:t>
      </w:r>
    </w:p>
    <w:p w14:paraId="586A18EF" w14:textId="77777777" w:rsidR="004159CB" w:rsidRPr="004159CB" w:rsidRDefault="004159CB" w:rsidP="004159CB">
      <w:r w:rsidRPr="004159CB">
        <w:t xml:space="preserve">    в том числе Ненецкий </w:t>
      </w:r>
      <w:proofErr w:type="spellStart"/>
      <w:proofErr w:type="gramStart"/>
      <w:r w:rsidRPr="004159CB">
        <w:t>авт.округ</w:t>
      </w:r>
      <w:proofErr w:type="spellEnd"/>
      <w:proofErr w:type="gramEnd"/>
      <w:r w:rsidRPr="004159CB">
        <w:tab/>
        <w:t xml:space="preserve">   133653</w:t>
      </w:r>
    </w:p>
    <w:p w14:paraId="794B6E33" w14:textId="77777777" w:rsidR="004159CB" w:rsidRPr="004159CB" w:rsidRDefault="004159CB" w:rsidP="004159CB">
      <w:r w:rsidRPr="004159CB">
        <w:t xml:space="preserve">    Архангельская область без авт. округа.</w:t>
      </w:r>
      <w:r w:rsidRPr="004159CB">
        <w:tab/>
        <w:t xml:space="preserve">   88704</w:t>
      </w:r>
    </w:p>
    <w:p w14:paraId="5DCF9183" w14:textId="77777777" w:rsidR="004159CB" w:rsidRPr="004159CB" w:rsidRDefault="004159CB" w:rsidP="004159CB">
      <w:r w:rsidRPr="004159CB">
        <w:t xml:space="preserve">    Вологодская область</w:t>
      </w:r>
      <w:r w:rsidRPr="004159CB">
        <w:tab/>
        <w:t xml:space="preserve">   78074</w:t>
      </w:r>
    </w:p>
    <w:p w14:paraId="7F0E3982" w14:textId="77777777" w:rsidR="004159CB" w:rsidRPr="004159CB" w:rsidRDefault="004159CB" w:rsidP="004159CB">
      <w:r w:rsidRPr="004159CB">
        <w:t xml:space="preserve">    Калининградская область</w:t>
      </w:r>
      <w:r w:rsidRPr="004159CB">
        <w:tab/>
        <w:t xml:space="preserve">   74816</w:t>
      </w:r>
    </w:p>
    <w:p w14:paraId="5FC13825" w14:textId="77777777" w:rsidR="004159CB" w:rsidRPr="004159CB" w:rsidRDefault="004159CB" w:rsidP="004159CB">
      <w:r w:rsidRPr="004159CB">
        <w:t xml:space="preserve">    Ленинградская область</w:t>
      </w:r>
      <w:r w:rsidRPr="004159CB">
        <w:tab/>
        <w:t xml:space="preserve">   92270</w:t>
      </w:r>
    </w:p>
    <w:p w14:paraId="1293D051" w14:textId="77777777" w:rsidR="004159CB" w:rsidRPr="004159CB" w:rsidRDefault="004159CB" w:rsidP="004159CB">
      <w:r w:rsidRPr="004159CB">
        <w:t xml:space="preserve">    Мурманская область</w:t>
      </w:r>
      <w:r w:rsidRPr="004159CB">
        <w:tab/>
        <w:t xml:space="preserve">   119698</w:t>
      </w:r>
    </w:p>
    <w:p w14:paraId="4BAB63FB" w14:textId="77777777" w:rsidR="004159CB" w:rsidRPr="004159CB" w:rsidRDefault="004159CB" w:rsidP="004159CB">
      <w:r w:rsidRPr="004159CB">
        <w:lastRenderedPageBreak/>
        <w:t xml:space="preserve">    Новгородская область</w:t>
      </w:r>
      <w:r w:rsidRPr="004159CB">
        <w:tab/>
        <w:t xml:space="preserve">   71440</w:t>
      </w:r>
    </w:p>
    <w:p w14:paraId="092762A3" w14:textId="77777777" w:rsidR="004159CB" w:rsidRPr="004159CB" w:rsidRDefault="004159CB" w:rsidP="004159CB">
      <w:r w:rsidRPr="004159CB">
        <w:t xml:space="preserve">    Псковская область</w:t>
      </w:r>
      <w:r w:rsidRPr="004159CB">
        <w:tab/>
        <w:t xml:space="preserve">   62631</w:t>
      </w:r>
    </w:p>
    <w:p w14:paraId="46FFC182" w14:textId="77777777" w:rsidR="004159CB" w:rsidRPr="004159CB" w:rsidRDefault="004159CB" w:rsidP="004159CB">
      <w:r w:rsidRPr="004159CB">
        <w:t xml:space="preserve">    </w:t>
      </w:r>
      <w:proofErr w:type="spellStart"/>
      <w:r w:rsidRPr="004159CB">
        <w:t>г.Санкт</w:t>
      </w:r>
      <w:proofErr w:type="spellEnd"/>
      <w:r w:rsidRPr="004159CB">
        <w:t>-Петербург</w:t>
      </w:r>
      <w:r w:rsidRPr="004159CB">
        <w:tab/>
        <w:t xml:space="preserve">   116764</w:t>
      </w:r>
    </w:p>
    <w:p w14:paraId="5CAF7E34" w14:textId="77777777" w:rsidR="004159CB" w:rsidRPr="004159CB" w:rsidRDefault="004159CB" w:rsidP="004159CB">
      <w:r w:rsidRPr="004159CB">
        <w:t xml:space="preserve">    Южный федеральный округ </w:t>
      </w:r>
      <w:r w:rsidRPr="004159CB">
        <w:tab/>
        <w:t xml:space="preserve">   70761</w:t>
      </w:r>
    </w:p>
    <w:p w14:paraId="538972E5" w14:textId="77777777" w:rsidR="004159CB" w:rsidRPr="004159CB" w:rsidRDefault="004159CB" w:rsidP="004159CB">
      <w:r w:rsidRPr="004159CB">
        <w:t xml:space="preserve">    Республика Адыгея</w:t>
      </w:r>
      <w:r w:rsidRPr="004159CB">
        <w:tab/>
        <w:t xml:space="preserve">   64154</w:t>
      </w:r>
    </w:p>
    <w:p w14:paraId="5B09AB82" w14:textId="77777777" w:rsidR="004159CB" w:rsidRPr="004159CB" w:rsidRDefault="004159CB" w:rsidP="004159CB">
      <w:r w:rsidRPr="004159CB">
        <w:t xml:space="preserve">    Республика Калмыкия</w:t>
      </w:r>
      <w:r w:rsidRPr="004159CB">
        <w:tab/>
        <w:t xml:space="preserve">   54597</w:t>
      </w:r>
    </w:p>
    <w:p w14:paraId="1D057EC8" w14:textId="77777777" w:rsidR="004159CB" w:rsidRPr="004159CB" w:rsidRDefault="004159CB" w:rsidP="004159CB">
      <w:r w:rsidRPr="004159CB">
        <w:t xml:space="preserve">    Республика Крым</w:t>
      </w:r>
      <w:r w:rsidRPr="004159CB">
        <w:tab/>
        <w:t xml:space="preserve">   65234</w:t>
      </w:r>
    </w:p>
    <w:p w14:paraId="76DD8F5A" w14:textId="77777777" w:rsidR="004159CB" w:rsidRPr="004159CB" w:rsidRDefault="004159CB" w:rsidP="004159CB">
      <w:r w:rsidRPr="004159CB">
        <w:t xml:space="preserve">    Краснодарский край</w:t>
      </w:r>
      <w:r w:rsidRPr="004159CB">
        <w:tab/>
        <w:t xml:space="preserve">   75178</w:t>
      </w:r>
    </w:p>
    <w:p w14:paraId="2CD16196" w14:textId="77777777" w:rsidR="004159CB" w:rsidRPr="004159CB" w:rsidRDefault="004159CB" w:rsidP="004159CB">
      <w:r w:rsidRPr="004159CB">
        <w:t xml:space="preserve">    Астраханская область</w:t>
      </w:r>
      <w:r w:rsidRPr="004159CB">
        <w:tab/>
        <w:t xml:space="preserve">   66975</w:t>
      </w:r>
    </w:p>
    <w:p w14:paraId="779994ED" w14:textId="77777777" w:rsidR="004159CB" w:rsidRPr="004159CB" w:rsidRDefault="004159CB" w:rsidP="004159CB">
      <w:r w:rsidRPr="004159CB">
        <w:t xml:space="preserve">    Волгоградская область</w:t>
      </w:r>
      <w:r w:rsidRPr="004159CB">
        <w:tab/>
        <w:t xml:space="preserve">   66955</w:t>
      </w:r>
    </w:p>
    <w:p w14:paraId="59F33558" w14:textId="77777777" w:rsidR="004159CB" w:rsidRPr="004159CB" w:rsidRDefault="004159CB" w:rsidP="004159CB">
      <w:r w:rsidRPr="004159CB">
        <w:t xml:space="preserve">    Ростовская область</w:t>
      </w:r>
      <w:r w:rsidRPr="004159CB">
        <w:tab/>
        <w:t xml:space="preserve">   71764</w:t>
      </w:r>
    </w:p>
    <w:p w14:paraId="6252445D" w14:textId="77777777" w:rsidR="004159CB" w:rsidRPr="004159CB" w:rsidRDefault="004159CB" w:rsidP="004159CB">
      <w:r w:rsidRPr="004159CB">
        <w:t xml:space="preserve">    </w:t>
      </w:r>
      <w:proofErr w:type="spellStart"/>
      <w:r w:rsidRPr="004159CB">
        <w:t>г.Севастополь</w:t>
      </w:r>
      <w:proofErr w:type="spellEnd"/>
      <w:r w:rsidRPr="004159CB">
        <w:tab/>
        <w:t xml:space="preserve">   65875</w:t>
      </w:r>
    </w:p>
    <w:p w14:paraId="091583FF" w14:textId="77777777" w:rsidR="004159CB" w:rsidRPr="004159CB" w:rsidRDefault="004159CB" w:rsidP="004159CB">
      <w:r w:rsidRPr="004159CB">
        <w:t xml:space="preserve">    </w:t>
      </w:r>
      <w:proofErr w:type="gramStart"/>
      <w:r w:rsidRPr="004159CB">
        <w:t>Северо-Кавказский</w:t>
      </w:r>
      <w:proofErr w:type="gramEnd"/>
      <w:r w:rsidRPr="004159CB">
        <w:t xml:space="preserve"> федеральный округ</w:t>
      </w:r>
      <w:r w:rsidRPr="004159CB">
        <w:tab/>
        <w:t xml:space="preserve">   54458</w:t>
      </w:r>
    </w:p>
    <w:p w14:paraId="197589CF" w14:textId="77777777" w:rsidR="004159CB" w:rsidRPr="004159CB" w:rsidRDefault="004159CB" w:rsidP="004159CB">
      <w:r w:rsidRPr="004159CB">
        <w:t xml:space="preserve">    Республика Дагестан</w:t>
      </w:r>
      <w:r w:rsidRPr="004159CB">
        <w:tab/>
        <w:t xml:space="preserve">   49324</w:t>
      </w:r>
    </w:p>
    <w:p w14:paraId="4D347834" w14:textId="77777777" w:rsidR="004159CB" w:rsidRPr="004159CB" w:rsidRDefault="004159CB" w:rsidP="004159CB">
      <w:r w:rsidRPr="004159CB">
        <w:t xml:space="preserve">    Республика Ингушетия</w:t>
      </w:r>
      <w:r w:rsidRPr="004159CB">
        <w:tab/>
        <w:t xml:space="preserve">   44081</w:t>
      </w:r>
    </w:p>
    <w:p w14:paraId="70F450F5" w14:textId="77777777" w:rsidR="004159CB" w:rsidRPr="004159CB" w:rsidRDefault="004159CB" w:rsidP="004159CB">
      <w:r w:rsidRPr="004159CB">
        <w:t xml:space="preserve">    Кабардино-Балкарская Республика</w:t>
      </w:r>
      <w:r w:rsidRPr="004159CB">
        <w:tab/>
        <w:t xml:space="preserve">   53178</w:t>
      </w:r>
    </w:p>
    <w:p w14:paraId="67D2C0AF" w14:textId="77777777" w:rsidR="004159CB" w:rsidRPr="004159CB" w:rsidRDefault="004159CB" w:rsidP="004159CB">
      <w:r w:rsidRPr="004159CB">
        <w:t xml:space="preserve">    Карачаево-Черкесская Республика</w:t>
      </w:r>
      <w:r w:rsidRPr="004159CB">
        <w:tab/>
        <w:t xml:space="preserve">   53959</w:t>
      </w:r>
    </w:p>
    <w:p w14:paraId="1B36F92E" w14:textId="77777777" w:rsidR="004159CB" w:rsidRPr="004159CB" w:rsidRDefault="004159CB" w:rsidP="004159CB">
      <w:r w:rsidRPr="004159CB">
        <w:t xml:space="preserve">    Республика Северная Осетия - Алания</w:t>
      </w:r>
      <w:r w:rsidRPr="004159CB">
        <w:tab/>
        <w:t xml:space="preserve">   53512</w:t>
      </w:r>
    </w:p>
    <w:p w14:paraId="27021A00" w14:textId="77777777" w:rsidR="004159CB" w:rsidRPr="004159CB" w:rsidRDefault="004159CB" w:rsidP="004159CB">
      <w:r w:rsidRPr="004159CB">
        <w:t xml:space="preserve">    Чеченская Республика</w:t>
      </w:r>
      <w:r w:rsidRPr="004159CB">
        <w:tab/>
        <w:t xml:space="preserve">   46740</w:t>
      </w:r>
    </w:p>
    <w:p w14:paraId="16AC45FF" w14:textId="77777777" w:rsidR="004159CB" w:rsidRPr="004159CB" w:rsidRDefault="004159CB" w:rsidP="004159CB">
      <w:r w:rsidRPr="004159CB">
        <w:t xml:space="preserve">    Ставропольский край</w:t>
      </w:r>
      <w:r w:rsidRPr="004159CB">
        <w:tab/>
        <w:t xml:space="preserve">   62282</w:t>
      </w:r>
    </w:p>
    <w:p w14:paraId="6A0612DD" w14:textId="77777777" w:rsidR="004159CB" w:rsidRPr="004159CB" w:rsidRDefault="004159CB" w:rsidP="004159CB">
      <w:r w:rsidRPr="004159CB">
        <w:t xml:space="preserve">    Приволжский федеральный округ</w:t>
      </w:r>
      <w:r w:rsidRPr="004159CB">
        <w:tab/>
        <w:t xml:space="preserve">   77637</w:t>
      </w:r>
    </w:p>
    <w:p w14:paraId="060E9037" w14:textId="77777777" w:rsidR="004159CB" w:rsidRPr="004159CB" w:rsidRDefault="004159CB" w:rsidP="004159CB">
      <w:r w:rsidRPr="004159CB">
        <w:t xml:space="preserve">    Республика Башкортостан</w:t>
      </w:r>
      <w:r w:rsidRPr="004159CB">
        <w:tab/>
        <w:t xml:space="preserve">   71894</w:t>
      </w:r>
    </w:p>
    <w:p w14:paraId="77BF3EFB" w14:textId="77777777" w:rsidR="004159CB" w:rsidRPr="004159CB" w:rsidRDefault="004159CB" w:rsidP="004159CB">
      <w:r w:rsidRPr="004159CB">
        <w:t xml:space="preserve">    Республика Марий Эл</w:t>
      </w:r>
      <w:r w:rsidRPr="004159CB">
        <w:tab/>
        <w:t xml:space="preserve">   70152</w:t>
      </w:r>
    </w:p>
    <w:p w14:paraId="7EE01B71" w14:textId="77777777" w:rsidR="004159CB" w:rsidRPr="004159CB" w:rsidRDefault="004159CB" w:rsidP="004159CB">
      <w:r w:rsidRPr="004159CB">
        <w:t xml:space="preserve">    Республика Мордовия</w:t>
      </w:r>
      <w:r w:rsidRPr="004159CB">
        <w:tab/>
        <w:t xml:space="preserve">   66481</w:t>
      </w:r>
    </w:p>
    <w:p w14:paraId="7689AC6B" w14:textId="77777777" w:rsidR="004159CB" w:rsidRPr="004159CB" w:rsidRDefault="004159CB" w:rsidP="004159CB">
      <w:r w:rsidRPr="004159CB">
        <w:t xml:space="preserve">    Республика Татарстан</w:t>
      </w:r>
      <w:r w:rsidRPr="004159CB">
        <w:tab/>
        <w:t xml:space="preserve">   95729</w:t>
      </w:r>
    </w:p>
    <w:p w14:paraId="1AA87424" w14:textId="77777777" w:rsidR="004159CB" w:rsidRPr="004159CB" w:rsidRDefault="004159CB" w:rsidP="004159CB">
      <w:r w:rsidRPr="004159CB">
        <w:t xml:space="preserve">    Удмуртская Республика</w:t>
      </w:r>
      <w:r w:rsidRPr="004159CB">
        <w:tab/>
        <w:t xml:space="preserve">   78958</w:t>
      </w:r>
    </w:p>
    <w:p w14:paraId="4B7C58E0" w14:textId="77777777" w:rsidR="004159CB" w:rsidRPr="004159CB" w:rsidRDefault="004159CB" w:rsidP="004159CB">
      <w:r w:rsidRPr="004159CB">
        <w:t xml:space="preserve">    Чувашская Республика</w:t>
      </w:r>
      <w:r w:rsidRPr="004159CB">
        <w:tab/>
        <w:t xml:space="preserve">   65981</w:t>
      </w:r>
    </w:p>
    <w:p w14:paraId="7C6A745F" w14:textId="77777777" w:rsidR="004159CB" w:rsidRPr="004159CB" w:rsidRDefault="004159CB" w:rsidP="004159CB">
      <w:r w:rsidRPr="004159CB">
        <w:t xml:space="preserve">    Пермский край</w:t>
      </w:r>
      <w:r w:rsidRPr="004159CB">
        <w:tab/>
        <w:t xml:space="preserve">   82597</w:t>
      </w:r>
    </w:p>
    <w:p w14:paraId="1AFF490A" w14:textId="77777777" w:rsidR="004159CB" w:rsidRPr="004159CB" w:rsidRDefault="004159CB" w:rsidP="004159CB">
      <w:r w:rsidRPr="004159CB">
        <w:t xml:space="preserve">    Кировская область</w:t>
      </w:r>
      <w:r w:rsidRPr="004159CB">
        <w:tab/>
        <w:t xml:space="preserve">   68207</w:t>
      </w:r>
    </w:p>
    <w:p w14:paraId="4EA1C718" w14:textId="77777777" w:rsidR="004159CB" w:rsidRPr="004159CB" w:rsidRDefault="004159CB" w:rsidP="004159CB">
      <w:r w:rsidRPr="004159CB">
        <w:t xml:space="preserve">    Нижегородская область</w:t>
      </w:r>
      <w:r w:rsidRPr="004159CB">
        <w:tab/>
        <w:t xml:space="preserve">   81274</w:t>
      </w:r>
    </w:p>
    <w:p w14:paraId="2F5FC1FB" w14:textId="77777777" w:rsidR="004159CB" w:rsidRPr="004159CB" w:rsidRDefault="004159CB" w:rsidP="004159CB">
      <w:r w:rsidRPr="004159CB">
        <w:t xml:space="preserve">    Оренбургская область</w:t>
      </w:r>
      <w:r w:rsidRPr="004159CB">
        <w:tab/>
        <w:t xml:space="preserve">   71484</w:t>
      </w:r>
    </w:p>
    <w:p w14:paraId="07A180FF" w14:textId="77777777" w:rsidR="004159CB" w:rsidRPr="004159CB" w:rsidRDefault="004159CB" w:rsidP="004159CB">
      <w:r w:rsidRPr="004159CB">
        <w:t xml:space="preserve">    Пензенская область</w:t>
      </w:r>
      <w:r w:rsidRPr="004159CB">
        <w:tab/>
        <w:t xml:space="preserve">   68491</w:t>
      </w:r>
    </w:p>
    <w:p w14:paraId="59DE5CB3" w14:textId="77777777" w:rsidR="004159CB" w:rsidRPr="004159CB" w:rsidRDefault="004159CB" w:rsidP="004159CB">
      <w:r w:rsidRPr="004159CB">
        <w:t xml:space="preserve">    Самарская область</w:t>
      </w:r>
      <w:r w:rsidRPr="004159CB">
        <w:tab/>
        <w:t xml:space="preserve">   75184</w:t>
      </w:r>
    </w:p>
    <w:p w14:paraId="4297235B" w14:textId="77777777" w:rsidR="004159CB" w:rsidRPr="004159CB" w:rsidRDefault="004159CB" w:rsidP="004159CB">
      <w:r w:rsidRPr="004159CB">
        <w:lastRenderedPageBreak/>
        <w:t xml:space="preserve">    Саратовская область</w:t>
      </w:r>
      <w:r w:rsidRPr="004159CB">
        <w:tab/>
        <w:t xml:space="preserve">   67737</w:t>
      </w:r>
    </w:p>
    <w:p w14:paraId="3B343C37" w14:textId="77777777" w:rsidR="004159CB" w:rsidRPr="004159CB" w:rsidRDefault="004159CB" w:rsidP="004159CB">
      <w:r w:rsidRPr="004159CB">
        <w:t xml:space="preserve">    Ульяновская область</w:t>
      </w:r>
      <w:r w:rsidRPr="004159CB">
        <w:tab/>
        <w:t xml:space="preserve">   68820</w:t>
      </w:r>
    </w:p>
    <w:p w14:paraId="5DF6E1DF" w14:textId="77777777" w:rsidR="004159CB" w:rsidRPr="004159CB" w:rsidRDefault="004159CB" w:rsidP="004159CB">
      <w:r w:rsidRPr="004159CB">
        <w:t xml:space="preserve">    Уральский федеральный округ</w:t>
      </w:r>
      <w:r w:rsidRPr="004159CB">
        <w:tab/>
        <w:t xml:space="preserve">   96989</w:t>
      </w:r>
    </w:p>
    <w:p w14:paraId="63440452" w14:textId="77777777" w:rsidR="004159CB" w:rsidRPr="004159CB" w:rsidRDefault="004159CB" w:rsidP="004159CB">
      <w:r w:rsidRPr="004159CB">
        <w:t xml:space="preserve">    Курганская область</w:t>
      </w:r>
      <w:r w:rsidRPr="004159CB">
        <w:tab/>
        <w:t xml:space="preserve">   71142</w:t>
      </w:r>
    </w:p>
    <w:p w14:paraId="4366B599" w14:textId="77777777" w:rsidR="004159CB" w:rsidRPr="004159CB" w:rsidRDefault="004159CB" w:rsidP="004159CB">
      <w:r w:rsidRPr="004159CB">
        <w:t xml:space="preserve">    Свердловская область</w:t>
      </w:r>
      <w:r w:rsidRPr="004159CB">
        <w:tab/>
        <w:t xml:space="preserve">   88114</w:t>
      </w:r>
    </w:p>
    <w:p w14:paraId="5651996E" w14:textId="77777777" w:rsidR="004159CB" w:rsidRPr="004159CB" w:rsidRDefault="004159CB" w:rsidP="004159CB">
      <w:r w:rsidRPr="004159CB">
        <w:t xml:space="preserve">    Тюменская область</w:t>
      </w:r>
      <w:r w:rsidRPr="004159CB">
        <w:tab/>
        <w:t xml:space="preserve">   119553</w:t>
      </w:r>
    </w:p>
    <w:p w14:paraId="1377EB8D" w14:textId="77777777" w:rsidR="004159CB" w:rsidRPr="004159CB" w:rsidRDefault="004159CB" w:rsidP="004159CB">
      <w:r w:rsidRPr="004159CB">
        <w:t xml:space="preserve">     в том числе:</w:t>
      </w:r>
      <w:r w:rsidRPr="004159CB">
        <w:tab/>
        <w:t xml:space="preserve">    </w:t>
      </w:r>
    </w:p>
    <w:p w14:paraId="7A944AD9" w14:textId="77777777" w:rsidR="004159CB" w:rsidRPr="004159CB" w:rsidRDefault="004159CB" w:rsidP="004159CB">
      <w:r w:rsidRPr="004159CB">
        <w:t xml:space="preserve">    Ханты-Мансийский авт. округ - Югра</w:t>
      </w:r>
      <w:r w:rsidRPr="004159CB">
        <w:tab/>
        <w:t xml:space="preserve">   120315</w:t>
      </w:r>
    </w:p>
    <w:p w14:paraId="260863BD" w14:textId="77777777" w:rsidR="004159CB" w:rsidRPr="004159CB" w:rsidRDefault="004159CB" w:rsidP="004159CB">
      <w:r w:rsidRPr="004159CB">
        <w:t xml:space="preserve">    Ямало-Ненецкий авт. округ</w:t>
      </w:r>
      <w:r w:rsidRPr="004159CB">
        <w:tab/>
        <w:t xml:space="preserve">   157915</w:t>
      </w:r>
    </w:p>
    <w:p w14:paraId="2AE71BB5" w14:textId="77777777" w:rsidR="004159CB" w:rsidRPr="004159CB" w:rsidRDefault="004159CB" w:rsidP="004159CB">
      <w:r w:rsidRPr="004159CB">
        <w:t xml:space="preserve">    Тюменская область без авт. округов</w:t>
      </w:r>
      <w:r w:rsidRPr="004159CB">
        <w:tab/>
        <w:t xml:space="preserve">   89245</w:t>
      </w:r>
    </w:p>
    <w:p w14:paraId="7F1EC49E" w14:textId="77777777" w:rsidR="004159CB" w:rsidRPr="004159CB" w:rsidRDefault="004159CB" w:rsidP="004159CB">
      <w:r w:rsidRPr="004159CB">
        <w:t xml:space="preserve">    Челябинская область</w:t>
      </w:r>
      <w:r w:rsidRPr="004159CB">
        <w:tab/>
        <w:t xml:space="preserve">   80799</w:t>
      </w:r>
    </w:p>
    <w:p w14:paraId="5A69E7BE" w14:textId="77777777" w:rsidR="004159CB" w:rsidRPr="004159CB" w:rsidRDefault="004159CB" w:rsidP="004159CB">
      <w:r w:rsidRPr="004159CB">
        <w:t xml:space="preserve">    Сибирский федеральный округ</w:t>
      </w:r>
      <w:r w:rsidRPr="004159CB">
        <w:tab/>
        <w:t xml:space="preserve">   85658</w:t>
      </w:r>
    </w:p>
    <w:p w14:paraId="2BEC5817" w14:textId="77777777" w:rsidR="004159CB" w:rsidRPr="004159CB" w:rsidRDefault="004159CB" w:rsidP="004159CB">
      <w:r w:rsidRPr="004159CB">
        <w:t xml:space="preserve">    Республика Алтай</w:t>
      </w:r>
      <w:r w:rsidRPr="004159CB">
        <w:tab/>
        <w:t xml:space="preserve">   74284</w:t>
      </w:r>
    </w:p>
    <w:p w14:paraId="24FC2BB2" w14:textId="77777777" w:rsidR="004159CB" w:rsidRPr="004159CB" w:rsidRDefault="004159CB" w:rsidP="004159CB">
      <w:r w:rsidRPr="004159CB">
        <w:t xml:space="preserve">    Республика Тыва</w:t>
      </w:r>
      <w:r w:rsidRPr="004159CB">
        <w:tab/>
        <w:t xml:space="preserve">   88171</w:t>
      </w:r>
    </w:p>
    <w:p w14:paraId="79250E1F" w14:textId="77777777" w:rsidR="004159CB" w:rsidRPr="004159CB" w:rsidRDefault="004159CB" w:rsidP="004159CB">
      <w:r w:rsidRPr="004159CB">
        <w:t xml:space="preserve">    Республика Хакасия</w:t>
      </w:r>
      <w:r w:rsidRPr="004159CB">
        <w:tab/>
        <w:t xml:space="preserve">   79184</w:t>
      </w:r>
    </w:p>
    <w:p w14:paraId="1D9BBFE3" w14:textId="77777777" w:rsidR="004159CB" w:rsidRPr="004159CB" w:rsidRDefault="004159CB" w:rsidP="004159CB">
      <w:r w:rsidRPr="004159CB">
        <w:t xml:space="preserve">    Алтайский край</w:t>
      </w:r>
      <w:r w:rsidRPr="004159CB">
        <w:tab/>
        <w:t xml:space="preserve">   64010</w:t>
      </w:r>
    </w:p>
    <w:p w14:paraId="7B1D2E45" w14:textId="77777777" w:rsidR="004159CB" w:rsidRPr="004159CB" w:rsidRDefault="004159CB" w:rsidP="004159CB">
      <w:r w:rsidRPr="004159CB">
        <w:t xml:space="preserve">    Красноярский край</w:t>
      </w:r>
      <w:r w:rsidRPr="004159CB">
        <w:tab/>
        <w:t xml:space="preserve">   103946</w:t>
      </w:r>
    </w:p>
    <w:p w14:paraId="2984FFDC" w14:textId="77777777" w:rsidR="004159CB" w:rsidRPr="004159CB" w:rsidRDefault="004159CB" w:rsidP="004159CB">
      <w:r w:rsidRPr="004159CB">
        <w:t xml:space="preserve">    Иркутская область</w:t>
      </w:r>
      <w:r w:rsidRPr="004159CB">
        <w:tab/>
        <w:t xml:space="preserve">   93171</w:t>
      </w:r>
    </w:p>
    <w:p w14:paraId="6E5858E3" w14:textId="77777777" w:rsidR="004159CB" w:rsidRPr="004159CB" w:rsidRDefault="004159CB" w:rsidP="004159CB">
      <w:r w:rsidRPr="004159CB">
        <w:t xml:space="preserve">    Кемеровская область - Кузбасс</w:t>
      </w:r>
      <w:r w:rsidRPr="004159CB">
        <w:tab/>
        <w:t xml:space="preserve">   81702</w:t>
      </w:r>
    </w:p>
    <w:p w14:paraId="4E56DE9F" w14:textId="77777777" w:rsidR="004159CB" w:rsidRPr="004159CB" w:rsidRDefault="004159CB" w:rsidP="004159CB">
      <w:r w:rsidRPr="004159CB">
        <w:t xml:space="preserve">    Новосибирская область</w:t>
      </w:r>
      <w:r w:rsidRPr="004159CB">
        <w:tab/>
        <w:t xml:space="preserve">   86823</w:t>
      </w:r>
    </w:p>
    <w:p w14:paraId="75A751A6" w14:textId="77777777" w:rsidR="004159CB" w:rsidRPr="004159CB" w:rsidRDefault="004159CB" w:rsidP="004159CB">
      <w:r w:rsidRPr="004159CB">
        <w:t xml:space="preserve">    Омская область</w:t>
      </w:r>
      <w:r w:rsidRPr="004159CB">
        <w:tab/>
        <w:t xml:space="preserve">   71455</w:t>
      </w:r>
    </w:p>
    <w:p w14:paraId="2EF44FFB" w14:textId="77777777" w:rsidR="004159CB" w:rsidRPr="004159CB" w:rsidRDefault="004159CB" w:rsidP="004159CB">
      <w:r w:rsidRPr="004159CB">
        <w:t xml:space="preserve">    Томская область</w:t>
      </w:r>
      <w:r w:rsidRPr="004159CB">
        <w:tab/>
        <w:t xml:space="preserve">   83163</w:t>
      </w:r>
    </w:p>
    <w:p w14:paraId="6DAD21A1" w14:textId="77777777" w:rsidR="004159CB" w:rsidRPr="004159CB" w:rsidRDefault="004159CB" w:rsidP="004159CB">
      <w:r w:rsidRPr="004159CB">
        <w:t xml:space="preserve">    Дальневосточный федеральный округ</w:t>
      </w:r>
      <w:r w:rsidRPr="004159CB">
        <w:tab/>
        <w:t xml:space="preserve">   112900</w:t>
      </w:r>
    </w:p>
    <w:p w14:paraId="25F00857" w14:textId="77777777" w:rsidR="004159CB" w:rsidRPr="004159CB" w:rsidRDefault="004159CB" w:rsidP="004159CB">
      <w:r w:rsidRPr="004159CB">
        <w:t xml:space="preserve">    Республика Бурятия</w:t>
      </w:r>
      <w:r w:rsidRPr="004159CB">
        <w:tab/>
        <w:t xml:space="preserve">   85356</w:t>
      </w:r>
    </w:p>
    <w:p w14:paraId="047CA5D6" w14:textId="77777777" w:rsidR="004159CB" w:rsidRPr="004159CB" w:rsidRDefault="004159CB" w:rsidP="004159CB">
      <w:r w:rsidRPr="004159CB">
        <w:t xml:space="preserve">    Республика Саха (Якутия)</w:t>
      </w:r>
      <w:r w:rsidRPr="004159CB">
        <w:tab/>
        <w:t xml:space="preserve">   139623</w:t>
      </w:r>
    </w:p>
    <w:p w14:paraId="3CF2A702" w14:textId="77777777" w:rsidR="004159CB" w:rsidRPr="003665FD" w:rsidRDefault="004159CB" w:rsidP="004159CB">
      <w:r w:rsidRPr="004159CB">
        <w:t xml:space="preserve">    </w:t>
      </w:r>
      <w:r w:rsidRPr="003665FD">
        <w:t>Забайкальский край</w:t>
      </w:r>
      <w:r w:rsidRPr="003665FD">
        <w:tab/>
        <w:t xml:space="preserve">   103544</w:t>
      </w:r>
    </w:p>
    <w:p w14:paraId="43FDCE45" w14:textId="77777777" w:rsidR="004159CB" w:rsidRPr="003665FD" w:rsidRDefault="004159CB" w:rsidP="004159CB">
      <w:r w:rsidRPr="003665FD">
        <w:t xml:space="preserve">    Камчатский край</w:t>
      </w:r>
      <w:r w:rsidRPr="003665FD">
        <w:tab/>
        <w:t xml:space="preserve">   137347</w:t>
      </w:r>
    </w:p>
    <w:p w14:paraId="7ADEFF09" w14:textId="77777777" w:rsidR="004159CB" w:rsidRPr="004159CB" w:rsidRDefault="004159CB" w:rsidP="004159CB">
      <w:r w:rsidRPr="003665FD">
        <w:t xml:space="preserve">    </w:t>
      </w:r>
      <w:r w:rsidRPr="004159CB">
        <w:t>Приморский край</w:t>
      </w:r>
      <w:r w:rsidRPr="004159CB">
        <w:tab/>
        <w:t xml:space="preserve">   94693</w:t>
      </w:r>
    </w:p>
    <w:p w14:paraId="57EAF188" w14:textId="77777777" w:rsidR="004159CB" w:rsidRPr="004159CB" w:rsidRDefault="004159CB" w:rsidP="004159CB">
      <w:r w:rsidRPr="004159CB">
        <w:t xml:space="preserve">    Хабаровский край</w:t>
      </w:r>
      <w:r w:rsidRPr="004159CB">
        <w:tab/>
        <w:t xml:space="preserve">   94720</w:t>
      </w:r>
    </w:p>
    <w:p w14:paraId="6B40D295" w14:textId="77777777" w:rsidR="004159CB" w:rsidRPr="004159CB" w:rsidRDefault="004159CB" w:rsidP="004159CB">
      <w:r w:rsidRPr="004159CB">
        <w:t xml:space="preserve">    Амурская область</w:t>
      </w:r>
      <w:r w:rsidRPr="004159CB">
        <w:tab/>
        <w:t xml:space="preserve">   103471</w:t>
      </w:r>
    </w:p>
    <w:p w14:paraId="30DB98B6" w14:textId="77777777" w:rsidR="004159CB" w:rsidRPr="004159CB" w:rsidRDefault="004159CB" w:rsidP="004159CB">
      <w:r w:rsidRPr="004159CB">
        <w:t xml:space="preserve">    Магаданская область</w:t>
      </w:r>
      <w:r w:rsidRPr="004159CB">
        <w:tab/>
        <w:t xml:space="preserve">   244130</w:t>
      </w:r>
    </w:p>
    <w:p w14:paraId="737E5E3F" w14:textId="77777777" w:rsidR="004159CB" w:rsidRPr="004159CB" w:rsidRDefault="004159CB" w:rsidP="004159CB">
      <w:r w:rsidRPr="004159CB">
        <w:t xml:space="preserve">    Сахалинская область</w:t>
      </w:r>
      <w:r w:rsidRPr="004159CB">
        <w:tab/>
        <w:t xml:space="preserve">   138905</w:t>
      </w:r>
    </w:p>
    <w:p w14:paraId="51F298D0" w14:textId="77777777" w:rsidR="004159CB" w:rsidRPr="004159CB" w:rsidRDefault="004159CB" w:rsidP="004159CB">
      <w:r w:rsidRPr="004159CB">
        <w:t xml:space="preserve">    Еврейская </w:t>
      </w:r>
      <w:proofErr w:type="spellStart"/>
      <w:proofErr w:type="gramStart"/>
      <w:r w:rsidRPr="004159CB">
        <w:t>авт.область</w:t>
      </w:r>
      <w:proofErr w:type="spellEnd"/>
      <w:proofErr w:type="gramEnd"/>
      <w:r w:rsidRPr="004159CB">
        <w:tab/>
        <w:t xml:space="preserve">   89029</w:t>
      </w:r>
    </w:p>
    <w:p w14:paraId="5C55AC6B" w14:textId="527DB3EB" w:rsidR="004159CB" w:rsidRPr="004159CB" w:rsidRDefault="004159CB" w:rsidP="004159CB">
      <w:r w:rsidRPr="004159CB">
        <w:lastRenderedPageBreak/>
        <w:t xml:space="preserve">    Чукотский </w:t>
      </w:r>
      <w:proofErr w:type="spellStart"/>
      <w:proofErr w:type="gramStart"/>
      <w:r w:rsidRPr="004159CB">
        <w:t>авт.округ</w:t>
      </w:r>
      <w:proofErr w:type="spellEnd"/>
      <w:proofErr w:type="gramEnd"/>
      <w:r w:rsidRPr="004159CB">
        <w:tab/>
        <w:t xml:space="preserve">   211768</w:t>
      </w:r>
    </w:p>
    <w:p w14:paraId="10E8180E" w14:textId="77777777" w:rsidR="004159CB" w:rsidRPr="004159CB" w:rsidRDefault="004159CB" w:rsidP="004159CB">
      <w:pPr>
        <w:rPr>
          <w:lang w:eastAsia="en-US"/>
        </w:rPr>
      </w:pPr>
      <w:r w:rsidRPr="004159CB">
        <w:rPr>
          <w:lang w:eastAsia="en-US"/>
        </w:rPr>
        <w:t>Срок выплаты среднего заработка</w:t>
      </w:r>
    </w:p>
    <w:tbl>
      <w:tblPr>
        <w:tblStyle w:val="TableGrid2"/>
        <w:tblW w:w="0" w:type="auto"/>
        <w:tblCellSpacing w:w="75" w:type="dxa"/>
        <w:tblCellMar>
          <w:top w:w="75" w:type="dxa"/>
          <w:left w:w="75" w:type="dxa"/>
          <w:bottom w:w="75" w:type="dxa"/>
          <w:right w:w="75" w:type="dxa"/>
        </w:tblCellMar>
        <w:tblLook w:val="04A0" w:firstRow="1" w:lastRow="0" w:firstColumn="1" w:lastColumn="0" w:noHBand="0" w:noVBand="1"/>
      </w:tblPr>
      <w:tblGrid>
        <w:gridCol w:w="4645"/>
        <w:gridCol w:w="2182"/>
        <w:gridCol w:w="2234"/>
      </w:tblGrid>
      <w:tr w:rsidR="004159CB" w:rsidRPr="004159CB" w14:paraId="35C54644" w14:textId="77777777" w:rsidTr="00A1063D">
        <w:trPr>
          <w:tblCellSpacing w:w="75" w:type="dxa"/>
        </w:trPr>
        <w:tc>
          <w:tcPr>
            <w:tcW w:w="0" w:type="auto"/>
            <w:vAlign w:val="center"/>
          </w:tcPr>
          <w:p w14:paraId="32EF85FD"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   Цель определения среднего заработка</w:t>
            </w:r>
          </w:p>
        </w:tc>
        <w:tc>
          <w:tcPr>
            <w:tcW w:w="0" w:type="auto"/>
            <w:vAlign w:val="center"/>
          </w:tcPr>
          <w:p w14:paraId="29F3F787"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   Срок выплаты</w:t>
            </w:r>
          </w:p>
        </w:tc>
        <w:tc>
          <w:tcPr>
            <w:tcW w:w="0" w:type="auto"/>
            <w:vAlign w:val="center"/>
          </w:tcPr>
          <w:p w14:paraId="0F6BCDDD"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   Основание</w:t>
            </w:r>
          </w:p>
        </w:tc>
      </w:tr>
      <w:tr w:rsidR="004159CB" w:rsidRPr="004159CB" w14:paraId="376494E3" w14:textId="77777777" w:rsidTr="00A1063D">
        <w:trPr>
          <w:tblCellSpacing w:w="75" w:type="dxa"/>
        </w:trPr>
        <w:tc>
          <w:tcPr>
            <w:tcW w:w="0" w:type="auto"/>
            <w:vAlign w:val="center"/>
          </w:tcPr>
          <w:p w14:paraId="6C257445"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73EA6589"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Отпускные </w:t>
            </w:r>
          </w:p>
        </w:tc>
        <w:tc>
          <w:tcPr>
            <w:tcW w:w="0" w:type="auto"/>
            <w:vAlign w:val="center"/>
          </w:tcPr>
          <w:p w14:paraId="02463D52"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5BAB32B4"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За три календарных дня до начала отпуска </w:t>
            </w:r>
          </w:p>
        </w:tc>
        <w:tc>
          <w:tcPr>
            <w:tcW w:w="0" w:type="auto"/>
            <w:vAlign w:val="center"/>
          </w:tcPr>
          <w:p w14:paraId="51C4FAE9"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0CDA8D1F"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ч. 9 ст. 136 ТК </w:t>
            </w:r>
          </w:p>
        </w:tc>
      </w:tr>
      <w:tr w:rsidR="004159CB" w:rsidRPr="004159CB" w14:paraId="65AE4BFA" w14:textId="77777777" w:rsidTr="00A1063D">
        <w:trPr>
          <w:tblCellSpacing w:w="75" w:type="dxa"/>
        </w:trPr>
        <w:tc>
          <w:tcPr>
            <w:tcW w:w="0" w:type="auto"/>
            <w:vAlign w:val="center"/>
          </w:tcPr>
          <w:p w14:paraId="28B08BE7"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    Командировка, пособие за первые три дня болезни работника, дни по уходу за детьми-инвалидами, медосмотра и подобные случаи</w:t>
            </w:r>
          </w:p>
        </w:tc>
        <w:tc>
          <w:tcPr>
            <w:tcW w:w="0" w:type="auto"/>
            <w:vAlign w:val="center"/>
          </w:tcPr>
          <w:p w14:paraId="17F3E2AE"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024BE4D0"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В дни выплаты зарплаты </w:t>
            </w:r>
          </w:p>
        </w:tc>
        <w:tc>
          <w:tcPr>
            <w:tcW w:w="0" w:type="auto"/>
            <w:vAlign w:val="center"/>
          </w:tcPr>
          <w:p w14:paraId="3495AA7F"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6CBAA70C"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ч. 1 ст. 14.1 Закона от 29.12.2006 № 255-ФЗ</w:t>
            </w:r>
          </w:p>
          <w:p w14:paraId="4FA77131"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информация </w:t>
            </w:r>
            <w:proofErr w:type="spellStart"/>
            <w:r w:rsidRPr="004159CB">
              <w:rPr>
                <w:rFonts w:ascii="Times New Roman" w:hAnsi="Times New Roman" w:cs="Times New Roman"/>
                <w:sz w:val="22"/>
                <w:szCs w:val="22"/>
              </w:rPr>
              <w:t>Роструда</w:t>
            </w:r>
            <w:proofErr w:type="spellEnd"/>
            <w:r w:rsidRPr="004159CB">
              <w:rPr>
                <w:rFonts w:ascii="Times New Roman" w:hAnsi="Times New Roman" w:cs="Times New Roman"/>
                <w:sz w:val="22"/>
                <w:szCs w:val="22"/>
              </w:rPr>
              <w:t xml:space="preserve"> от 13.06.2023 </w:t>
            </w:r>
          </w:p>
        </w:tc>
      </w:tr>
      <w:tr w:rsidR="004159CB" w:rsidRPr="004159CB" w14:paraId="7C5E01C0" w14:textId="77777777" w:rsidTr="00A1063D">
        <w:trPr>
          <w:tblCellSpacing w:w="75" w:type="dxa"/>
        </w:trPr>
        <w:tc>
          <w:tcPr>
            <w:tcW w:w="0" w:type="auto"/>
            <w:vAlign w:val="center"/>
          </w:tcPr>
          <w:p w14:paraId="6AA5943A"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    Компенсация за неиспользованный отпуск, выходное пособие</w:t>
            </w:r>
          </w:p>
        </w:tc>
        <w:tc>
          <w:tcPr>
            <w:tcW w:w="0" w:type="auto"/>
            <w:vAlign w:val="center"/>
          </w:tcPr>
          <w:p w14:paraId="6D34702D"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0FC058E6"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В день увольнения </w:t>
            </w:r>
          </w:p>
        </w:tc>
        <w:tc>
          <w:tcPr>
            <w:tcW w:w="0" w:type="auto"/>
            <w:vAlign w:val="center"/>
          </w:tcPr>
          <w:p w14:paraId="611F2E45" w14:textId="77777777" w:rsidR="004159CB" w:rsidRPr="004159CB" w:rsidRDefault="004159CB" w:rsidP="004159CB">
            <w:pPr>
              <w:rPr>
                <w:rFonts w:ascii="Times New Roman" w:hAnsi="Times New Roman" w:cs="Times New Roman"/>
                <w:sz w:val="22"/>
                <w:szCs w:val="22"/>
              </w:rPr>
            </w:pPr>
            <w:r w:rsidRPr="004159CB">
              <w:rPr>
                <w:rFonts w:ascii="Times New Roman" w:hAnsi="Times New Roman" w:cs="Times New Roman"/>
                <w:sz w:val="22"/>
                <w:szCs w:val="22"/>
              </w:rPr>
              <w:t xml:space="preserve">   </w:t>
            </w:r>
          </w:p>
          <w:p w14:paraId="043EE82F" w14:textId="77777777" w:rsidR="004159CB" w:rsidRPr="004159CB" w:rsidRDefault="004159CB" w:rsidP="004159CB">
            <w:pPr>
              <w:spacing w:before="120"/>
              <w:jc w:val="left"/>
              <w:rPr>
                <w:rFonts w:ascii="Times New Roman" w:hAnsi="Times New Roman" w:cs="Times New Roman"/>
                <w:sz w:val="22"/>
                <w:szCs w:val="22"/>
              </w:rPr>
            </w:pPr>
            <w:r w:rsidRPr="004159CB">
              <w:rPr>
                <w:rFonts w:ascii="Times New Roman" w:hAnsi="Times New Roman" w:cs="Times New Roman"/>
                <w:sz w:val="22"/>
                <w:szCs w:val="22"/>
              </w:rPr>
              <w:t xml:space="preserve">ст. 140 ТК </w:t>
            </w:r>
          </w:p>
        </w:tc>
      </w:tr>
    </w:tbl>
    <w:p w14:paraId="3D76292C" w14:textId="2749CF10" w:rsidR="004159CB" w:rsidRPr="004159CB" w:rsidRDefault="004159CB" w:rsidP="004159CB">
      <w:pPr>
        <w:rPr>
          <w:lang w:val="en-US" w:eastAsia="en-US"/>
        </w:rPr>
      </w:pPr>
    </w:p>
    <w:p w14:paraId="68447760" w14:textId="5E02AA3D" w:rsidR="004159CB" w:rsidRPr="004159CB" w:rsidRDefault="004159CB" w:rsidP="004159CB">
      <w:pPr>
        <w:rPr>
          <w:lang w:eastAsia="en-US"/>
        </w:rPr>
      </w:pPr>
      <w:r w:rsidRPr="004159CB">
        <w:rPr>
          <w:lang w:eastAsia="en-US"/>
        </w:rPr>
        <w:t>Прочитайте свежие новости для вашей работы</w:t>
      </w:r>
    </w:p>
    <w:p w14:paraId="25A48B33" w14:textId="77777777" w:rsidR="004159CB" w:rsidRPr="004159CB" w:rsidRDefault="004159CB" w:rsidP="004159CB">
      <w:pPr>
        <w:rPr>
          <w:lang w:eastAsia="en-US"/>
        </w:rPr>
      </w:pPr>
      <w:r w:rsidRPr="004159CB">
        <w:rPr>
          <w:lang w:eastAsia="en-US"/>
        </w:rPr>
        <w:t xml:space="preserve">ФНС опубликовала разъяснения о том, как именно выявляются признаки неформальной занятости с помощью автоматизированной системы контроля. Система сопоставляет данные ККТ, выручки, а также отчётность по форме 6-НДФЛ и РСВ. </w:t>
      </w:r>
    </w:p>
    <w:p w14:paraId="347CD787" w14:textId="77777777" w:rsidR="004159CB" w:rsidRPr="004159CB" w:rsidRDefault="004159CB" w:rsidP="004159CB">
      <w:pPr>
        <w:rPr>
          <w:lang w:eastAsia="en-US"/>
        </w:rPr>
      </w:pPr>
      <w:r w:rsidRPr="004159CB">
        <w:rPr>
          <w:lang w:eastAsia="en-US"/>
        </w:rPr>
        <w:t xml:space="preserve">Сотрудник, которому некорректно начисляли зарплату вправе потребовать перерасчет за весь период ошибочного начисления, разъяснили на сайте </w:t>
      </w:r>
      <w:proofErr w:type="spellStart"/>
      <w:r w:rsidRPr="004159CB">
        <w:rPr>
          <w:lang w:eastAsia="en-US"/>
        </w:rPr>
        <w:t>Онлайнинспекции</w:t>
      </w:r>
      <w:proofErr w:type="spellEnd"/>
      <w:r w:rsidRPr="004159CB">
        <w:rPr>
          <w:lang w:eastAsia="en-US"/>
        </w:rPr>
        <w:t xml:space="preserve">.  </w:t>
      </w:r>
    </w:p>
    <w:p w14:paraId="34653222" w14:textId="77777777" w:rsidR="004159CB" w:rsidRPr="004159CB" w:rsidRDefault="004159CB" w:rsidP="004159CB">
      <w:pPr>
        <w:rPr>
          <w:lang w:eastAsia="en-US"/>
        </w:rPr>
      </w:pPr>
      <w:r w:rsidRPr="004159CB">
        <w:rPr>
          <w:lang w:eastAsia="en-US"/>
        </w:rPr>
        <w:t>Ольга Вадимовна</w:t>
      </w:r>
    </w:p>
    <w:p w14:paraId="3E764F71" w14:textId="08067196" w:rsidR="004159CB" w:rsidRPr="003665FD" w:rsidRDefault="000D71EB" w:rsidP="00C61E9A">
      <w:hyperlink r:id="rId49" w:history="1">
        <w:r w:rsidR="004159CB" w:rsidRPr="00C91C33">
          <w:rPr>
            <w:rStyle w:val="a3"/>
          </w:rPr>
          <w:t>https://www.glavbukh.ru/art/393189-srednya-zarplat-regionam</w:t>
        </w:r>
      </w:hyperlink>
      <w:r w:rsidR="004159CB" w:rsidRPr="004159CB">
        <w:t xml:space="preserve"> </w:t>
      </w:r>
    </w:p>
    <w:p w14:paraId="70180B84" w14:textId="61AEBF49" w:rsidR="0046254B" w:rsidRPr="0046254B" w:rsidRDefault="0046254B" w:rsidP="0046254B">
      <w:pPr>
        <w:pStyle w:val="2"/>
      </w:pPr>
      <w:bookmarkStart w:id="149" w:name="_Toc223591186"/>
      <w:r w:rsidRPr="0046254B">
        <w:rPr>
          <w:lang w:val="en-US"/>
        </w:rPr>
        <w:lastRenderedPageBreak/>
        <w:t>Pravda</w:t>
      </w:r>
      <w:r w:rsidRPr="0046254B">
        <w:t>.</w:t>
      </w:r>
      <w:proofErr w:type="spellStart"/>
      <w:r w:rsidRPr="0046254B">
        <w:rPr>
          <w:lang w:val="en-US"/>
        </w:rPr>
        <w:t>ru</w:t>
      </w:r>
      <w:proofErr w:type="spellEnd"/>
      <w:r w:rsidRPr="0046254B">
        <w:t>, 04.03.2026, Цены впали в весеннюю спячку: недельная инфляция в стране упала до рекордного минимума года</w:t>
      </w:r>
      <w:bookmarkEnd w:id="149"/>
    </w:p>
    <w:p w14:paraId="657EAFA0" w14:textId="77777777" w:rsidR="0046254B" w:rsidRPr="0046254B" w:rsidRDefault="0046254B" w:rsidP="0046254B">
      <w:pPr>
        <w:pStyle w:val="3"/>
      </w:pPr>
      <w:bookmarkStart w:id="150" w:name="_Toc223591187"/>
      <w:r w:rsidRPr="0046254B">
        <w:t>Российская экономика демонстрирует признаки охлаждения ценового давления: по свежим данным Росстата, за неделю до 2 марта потребительская инфляция замедлилась до 0,08%. Этот показатель стал минимальным с начала текущего года, что может свидетельствовать о стабилизации покупательского спроса и эффективности принимаемых денежно-кредитных мер. С начала года накопленный рост цен составил 2,22%, что выглядит оптимистично на фоне 2,71% за аналогичный период прошлого года.</w:t>
      </w:r>
      <w:bookmarkEnd w:id="150"/>
    </w:p>
    <w:p w14:paraId="3BE4717C" w14:textId="77777777" w:rsidR="0046254B" w:rsidRPr="0046254B" w:rsidRDefault="0046254B" w:rsidP="0046254B">
      <w:r w:rsidRPr="0046254B">
        <w:t>Падение инфляции</w:t>
      </w:r>
    </w:p>
    <w:p w14:paraId="45E2699A" w14:textId="77777777" w:rsidR="0046254B" w:rsidRPr="0046254B" w:rsidRDefault="0046254B" w:rsidP="0046254B">
      <w:r w:rsidRPr="0046254B">
        <w:t>Динамика в годовом выражении также показала позитивный тренд, опустившись до отметки 5,75%. Несмотря на общее замедление, структура инфляционной корзины остается неоднородной. Пока одни товары повседневного спроса демонстрируют дефляцию из-за сезонных факторов или насыщения рынка, другие категории, напротив, реагируют на логистические издержки и волатильность внешних рынков. Понимание этих процессов критично не только для макроэкономистов, но и для обычных граждан, стремящихся сохранить свои личные финансы в условиях меняющегося ландшафта.</w:t>
      </w:r>
    </w:p>
    <w:p w14:paraId="19FA24B2" w14:textId="77777777" w:rsidR="0046254B" w:rsidRPr="0046254B" w:rsidRDefault="0046254B" w:rsidP="0046254B">
      <w:r w:rsidRPr="0046254B">
        <w:t>Минимальные показатели года: статистика цен</w:t>
      </w:r>
    </w:p>
    <w:p w14:paraId="2C5E7BC9" w14:textId="77777777" w:rsidR="0046254B" w:rsidRPr="0046254B" w:rsidRDefault="0046254B" w:rsidP="0046254B">
      <w:r w:rsidRPr="0046254B">
        <w:t>Текущее замедление до 0,08% в неделю является важным психологическим и экономическим маркером. Это указывает на то, что резкий всплеск цен, характерный для начала года, постепенно сменяется более умеренной динамикой. Накопленный показатель в 2,22% дает надежду на то, что итоговые цифры года могут оказаться в рамках прогнозов ведомств, если не возникнет новых шоков предложения.</w:t>
      </w:r>
    </w:p>
    <w:p w14:paraId="3FBF8D8F" w14:textId="77777777" w:rsidR="0046254B" w:rsidRPr="0046254B" w:rsidRDefault="0046254B" w:rsidP="0046254B">
      <w:r w:rsidRPr="0046254B">
        <w:t xml:space="preserve">"Текущая динамика цен отражает баланс между жесткой денежно-кредитной политикой и сохраняющимся потребительским оптимизмом. Замедление недельного темпа до минимальных значений года - это четкий сигнал рынку", - объяснил в беседе с </w:t>
      </w:r>
      <w:r w:rsidRPr="0046254B">
        <w:rPr>
          <w:lang w:val="en-US"/>
        </w:rPr>
        <w:t>Pravda</w:t>
      </w:r>
      <w:r w:rsidRPr="0046254B">
        <w:t xml:space="preserve">. </w:t>
      </w:r>
      <w:r w:rsidRPr="0046254B">
        <w:rPr>
          <w:lang w:val="en-US"/>
        </w:rPr>
        <w:t>Ru</w:t>
      </w:r>
      <w:r w:rsidRPr="0046254B">
        <w:t xml:space="preserve"> макроэкономист Артём Логинов.</w:t>
      </w:r>
    </w:p>
    <w:p w14:paraId="32A681FD" w14:textId="77777777" w:rsidR="0046254B" w:rsidRPr="0046254B" w:rsidRDefault="0046254B" w:rsidP="0046254B">
      <w:r w:rsidRPr="0046254B">
        <w:t>Важно отметить, что замедление происходит на фоне активных изменений в банковском секторе. Пока инфляция берет паузу, финансовые организации усиливают контроль за операциями. Например, некоторые банки внедряют блокировку выдачи наличных при подозрительных операциях, что косвенно влияет на скорость обращения денег в экономике.</w:t>
      </w:r>
    </w:p>
    <w:p w14:paraId="38D594FC" w14:textId="77777777" w:rsidR="0046254B" w:rsidRPr="0046254B" w:rsidRDefault="0046254B" w:rsidP="0046254B">
      <w:r w:rsidRPr="0046254B">
        <w:t>Продовольственная корзина: лидеры роста и снижения</w:t>
      </w:r>
    </w:p>
    <w:p w14:paraId="74C16BB9" w14:textId="77777777" w:rsidR="0046254B" w:rsidRPr="0046254B" w:rsidRDefault="0046254B" w:rsidP="0046254B">
      <w:r w:rsidRPr="0046254B">
        <w:t>В сегменте продуктов питания наблюдается разнонаправленное движение. Основным драйвером роста на отчетной неделе стали куриные яйца, прибавившие сразу 3,3%. Также незначительно подорожали сахар-песок, мука и водка (+0,4%). Стабильный спрос на базовые продукты питания продолжает оказывать давление на кошельки россиян, вынуждая их более тщательно планировать семейный бюджет.</w:t>
      </w:r>
    </w:p>
    <w:p w14:paraId="3B4E92CA" w14:textId="77777777" w:rsidR="0046254B" w:rsidRPr="0046254B" w:rsidRDefault="0046254B" w:rsidP="0046254B">
      <w:r w:rsidRPr="0046254B">
        <w:t xml:space="preserve">   Товарная группа</w:t>
      </w:r>
      <w:r w:rsidRPr="0046254B">
        <w:tab/>
        <w:t xml:space="preserve">   Изменение цены (%)</w:t>
      </w:r>
    </w:p>
    <w:p w14:paraId="50622F84" w14:textId="77777777" w:rsidR="0046254B" w:rsidRPr="0046254B" w:rsidRDefault="0046254B" w:rsidP="0046254B">
      <w:r w:rsidRPr="0046254B">
        <w:t xml:space="preserve">    Яйца куриные</w:t>
      </w:r>
      <w:r w:rsidRPr="0046254B">
        <w:tab/>
        <w:t xml:space="preserve">   +3,3</w:t>
      </w:r>
    </w:p>
    <w:p w14:paraId="61C5B684" w14:textId="77777777" w:rsidR="0046254B" w:rsidRPr="002F2523" w:rsidRDefault="0046254B" w:rsidP="0046254B">
      <w:r w:rsidRPr="0046254B">
        <w:t xml:space="preserve">    </w:t>
      </w:r>
      <w:r w:rsidRPr="002F2523">
        <w:t>Помидоры</w:t>
      </w:r>
      <w:r w:rsidRPr="002F2523">
        <w:tab/>
        <w:t xml:space="preserve">   +3,8</w:t>
      </w:r>
    </w:p>
    <w:p w14:paraId="78F7BE71" w14:textId="77777777" w:rsidR="0046254B" w:rsidRPr="002F2523" w:rsidRDefault="0046254B" w:rsidP="0046254B">
      <w:r w:rsidRPr="002F2523">
        <w:lastRenderedPageBreak/>
        <w:t xml:space="preserve">    Мясо кур</w:t>
      </w:r>
      <w:r w:rsidRPr="002F2523">
        <w:tab/>
        <w:t xml:space="preserve">   -0,3</w:t>
      </w:r>
    </w:p>
    <w:p w14:paraId="0774903B" w14:textId="2F017546" w:rsidR="0046254B" w:rsidRPr="002F2523" w:rsidRDefault="0046254B" w:rsidP="0046254B">
      <w:r w:rsidRPr="002F2523">
        <w:t xml:space="preserve">    Огурцы</w:t>
      </w:r>
      <w:r w:rsidRPr="002F2523">
        <w:tab/>
        <w:t xml:space="preserve">   -7,1</w:t>
      </w:r>
    </w:p>
    <w:p w14:paraId="1DCDEEEB" w14:textId="77777777" w:rsidR="0046254B" w:rsidRPr="002F2523" w:rsidRDefault="0046254B" w:rsidP="0046254B">
      <w:r w:rsidRPr="002F2523">
        <w:t>С другой стороны, зафиксировано снижение цен на мясо кур и гречневую крупу (-0,3%), а также на молочную продукцию и подсолнечное масло. Это позволяет частично компенсировать рост стоимости других категорий. В условиях умеренной инфляции потребители начинают активнее использовать инструменты экономии, например, оптимизируя расходы на подписки и цифровые сервисы.</w:t>
      </w:r>
    </w:p>
    <w:p w14:paraId="00536BCA" w14:textId="77777777" w:rsidR="0046254B" w:rsidRPr="002F2523" w:rsidRDefault="0046254B" w:rsidP="0046254B">
      <w:r w:rsidRPr="002F2523">
        <w:t>Сезонные качели: что происходит с овощами</w:t>
      </w:r>
    </w:p>
    <w:p w14:paraId="1B5AE3A0" w14:textId="77777777" w:rsidR="0046254B" w:rsidRPr="002F2523" w:rsidRDefault="0046254B" w:rsidP="0046254B">
      <w:r w:rsidRPr="002F2523">
        <w:t>Плодоовощная продукция в среднем подешевела на 0,5%, однако внутри категории кипят настоящие страсти. Главным "антигероем" недели стали огурцы, рухнувшие в цене на 7,1%. Это традиционное явление для конца зимы - начала весны, когда предложение от тепличных хозяйств начинает расти. Однако такие продукты как морковь (+2,5%) и капуста (+1,4%) продолжают дорожать из-за исчерпания запасов урожая прошлого года.</w:t>
      </w:r>
    </w:p>
    <w:p w14:paraId="08DB304B" w14:textId="77777777" w:rsidR="0046254B" w:rsidRPr="002F2523" w:rsidRDefault="0046254B" w:rsidP="0046254B">
      <w:r w:rsidRPr="002F2523">
        <w:t>"Цены на морковь и другие корнеплоды в этот период часто диктуются остатками на складах. Пустые хранилища - залог того, что цены на продукты будут 'кусаться' до появления нового урожая", - отмечает финансовый аналитик Никита Волков.</w:t>
      </w:r>
    </w:p>
    <w:p w14:paraId="5BD873D4" w14:textId="77777777" w:rsidR="0046254B" w:rsidRPr="002F2523" w:rsidRDefault="0046254B" w:rsidP="0046254B">
      <w:r w:rsidRPr="002F2523">
        <w:t>Тем не менее, общая дефляция в овощном сегменте оказывает существенную поддержку общему индексу потребительских цен. Это важно для сохранения покупательной способности населения, особенно на фоне того, что социально значимые выплаты, такие как индексация пенсий, ориентированы именно на реальные показатели инфляции.</w:t>
      </w:r>
    </w:p>
    <w:p w14:paraId="19E069E7" w14:textId="77777777" w:rsidR="0046254B" w:rsidRPr="002F2523" w:rsidRDefault="0046254B" w:rsidP="0046254B">
      <w:r w:rsidRPr="002F2523">
        <w:t>Влияние инфляции на решения регулятора</w:t>
      </w:r>
    </w:p>
    <w:p w14:paraId="514B8D3F" w14:textId="77777777" w:rsidR="0046254B" w:rsidRPr="002F2523" w:rsidRDefault="0046254B" w:rsidP="0046254B">
      <w:r w:rsidRPr="002F2523">
        <w:t>Замедление инфляции - ключевой фактор для Банка России при принятии решения по ключевой ставке. Текущие цифры могут дать регулятору повод для осторожного оптимизма. Если тренд на замедление закрепится, это позволит избежать дальнейшего ужесточения условий кредитования. Сейчас финансовые рынки пристально следят за каждым отчетом, так как от этого зависит прогноз курса рубля и стоимость заемных средств.</w:t>
      </w:r>
    </w:p>
    <w:p w14:paraId="5A768AEB" w14:textId="77777777" w:rsidR="0046254B" w:rsidRPr="002F2523" w:rsidRDefault="0046254B" w:rsidP="0046254B">
      <w:r w:rsidRPr="002F2523">
        <w:t xml:space="preserve">Для бизнеса и рядовых граждан это означает стабильность условий по ипотеке и кредитным картам. К слову, неправильное использование последних часто становится причиной долговой ямы. Эксперты предупреждают, что кредитная карта может быть опаснее обычного займа при несоблюдении </w:t>
      </w:r>
      <w:proofErr w:type="spellStart"/>
      <w:r w:rsidRPr="002F2523">
        <w:t>грейс</w:t>
      </w:r>
      <w:proofErr w:type="spellEnd"/>
      <w:r w:rsidRPr="002F2523">
        <w:t>-периода, особенно в периоды высокой неопределенности.</w:t>
      </w:r>
    </w:p>
    <w:p w14:paraId="10BC3BD5" w14:textId="77777777" w:rsidR="0046254B" w:rsidRPr="002F2523" w:rsidRDefault="0046254B" w:rsidP="0046254B">
      <w:r w:rsidRPr="002F2523">
        <w:t>Глобальный контекст и энергетические риски</w:t>
      </w:r>
    </w:p>
    <w:p w14:paraId="2050016B" w14:textId="77777777" w:rsidR="0046254B" w:rsidRPr="002F2523" w:rsidRDefault="0046254B" w:rsidP="0046254B">
      <w:r w:rsidRPr="002F2523">
        <w:t>Внутренняя инфляция в России не изолирована от мировых процессов. Ситуация на энергетических рынках, в частности цены на нефть и газ, оказывает опосредованное влияние через стоимость логистики и удобрений. Обострение конфликтов на Ближнем Востоке и нестабильность в Ормузском проливе создают риски глобального инфляционного шока.</w:t>
      </w:r>
    </w:p>
    <w:p w14:paraId="385331B3" w14:textId="77777777" w:rsidR="0046254B" w:rsidRPr="002F2523" w:rsidRDefault="0046254B" w:rsidP="0046254B">
      <w:r w:rsidRPr="002F2523">
        <w:t>"Эскалация вокруг ключевых транспортных артерий всегда ведет к росту цен на энергоносители. Мировой газовый рынок уже реагирует на угрозы перебоев в поставках", - подчеркнул эксперт в области энергетики Михаил Фролов.</w:t>
      </w:r>
    </w:p>
    <w:p w14:paraId="6AA672F8" w14:textId="77777777" w:rsidR="0046254B" w:rsidRPr="002F2523" w:rsidRDefault="0046254B" w:rsidP="0046254B">
      <w:r w:rsidRPr="002F2523">
        <w:lastRenderedPageBreak/>
        <w:t>Таким образом, текущее замедление цен в России - это хрупкий баланс, который требует постоянного мониторинга. Любые внешние факторы, будь то новые санкции или энергетический кризис, могут изменить траекторию инфляции, заставляя государство внедрять новые механизмы контроля, включая усиление надзора со стороны ФАС за тарифами ЖКХ.</w:t>
      </w:r>
    </w:p>
    <w:p w14:paraId="0E959739" w14:textId="77777777" w:rsidR="0046254B" w:rsidRPr="002F2523" w:rsidRDefault="0046254B" w:rsidP="0046254B">
      <w:r w:rsidRPr="002F2523">
        <w:t>Ответы на популярные вопросы об инфляции</w:t>
      </w:r>
    </w:p>
    <w:p w14:paraId="1BD7143D" w14:textId="77777777" w:rsidR="0046254B" w:rsidRPr="002F2523" w:rsidRDefault="0046254B" w:rsidP="0046254B">
      <w:r w:rsidRPr="002F2523">
        <w:t>Почему инфляция замедляется, а цены в магазинах кажутся высокими?</w:t>
      </w:r>
    </w:p>
    <w:p w14:paraId="25303A49" w14:textId="77777777" w:rsidR="0046254B" w:rsidRPr="002F2523" w:rsidRDefault="0046254B" w:rsidP="0046254B">
      <w:r w:rsidRPr="002F2523">
        <w:t>Замедление инфляции означает, что темп роста цен снизился, а не то, что цены начали падать. Если раньше товар дорожал на 1% в неделю, а теперь на 0,1%, это считается замедлением инфляции, хотя ценники все равно ползут вверх.</w:t>
      </w:r>
    </w:p>
    <w:p w14:paraId="4638B8FE" w14:textId="77777777" w:rsidR="0046254B" w:rsidRPr="002F2523" w:rsidRDefault="0046254B" w:rsidP="0046254B">
      <w:r w:rsidRPr="002F2523">
        <w:t>Как низкая инфляция влияет на кредиты?</w:t>
      </w:r>
    </w:p>
    <w:p w14:paraId="091DC424" w14:textId="77777777" w:rsidR="0046254B" w:rsidRPr="002F2523" w:rsidRDefault="0046254B" w:rsidP="0046254B">
      <w:r w:rsidRPr="002F2523">
        <w:t>Низкая и стабильная инфляция позволяет Центробанку снижать ключевую ставку. Это делает кредиты более доступными для населения и бизнеса, снижая ежемесячные платежи по новым займам.</w:t>
      </w:r>
    </w:p>
    <w:p w14:paraId="55FA40B7" w14:textId="77777777" w:rsidR="0046254B" w:rsidRPr="002F2523" w:rsidRDefault="0046254B" w:rsidP="0046254B">
      <w:r w:rsidRPr="002F2523">
        <w:t>Какие продукты больше всего влияют на общую статистику инфляции?</w:t>
      </w:r>
    </w:p>
    <w:p w14:paraId="7C9189B0" w14:textId="77777777" w:rsidR="0046254B" w:rsidRPr="002F2523" w:rsidRDefault="0046254B" w:rsidP="0046254B">
      <w:r w:rsidRPr="002F2523">
        <w:t>Наибольшее влияние оказывают товары с высокой долей в потребительской корзине: хлеб, молоко, мясо, а также коммунальные услуги и топливо. Сезонные овощи могут давать резкие колебания, но их влияние часто носит временный характер.</w:t>
      </w:r>
    </w:p>
    <w:p w14:paraId="4546631A" w14:textId="5D737341" w:rsidR="0046254B" w:rsidRPr="002F2523" w:rsidRDefault="000D71EB" w:rsidP="0046254B">
      <w:hyperlink r:id="rId50" w:history="1">
        <w:r w:rsidR="0046254B" w:rsidRPr="00C91C33">
          <w:rPr>
            <w:rStyle w:val="a3"/>
            <w:lang w:val="en-US"/>
          </w:rPr>
          <w:t>https</w:t>
        </w:r>
        <w:r w:rsidR="0046254B" w:rsidRPr="002F2523">
          <w:rPr>
            <w:rStyle w:val="a3"/>
          </w:rPr>
          <w:t>://</w:t>
        </w:r>
        <w:r w:rsidR="0046254B" w:rsidRPr="00C91C33">
          <w:rPr>
            <w:rStyle w:val="a3"/>
            <w:lang w:val="en-US"/>
          </w:rPr>
          <w:t>www</w:t>
        </w:r>
        <w:r w:rsidR="0046254B" w:rsidRPr="002F2523">
          <w:rPr>
            <w:rStyle w:val="a3"/>
          </w:rPr>
          <w:t>.</w:t>
        </w:r>
        <w:proofErr w:type="spellStart"/>
        <w:r w:rsidR="0046254B" w:rsidRPr="00C91C33">
          <w:rPr>
            <w:rStyle w:val="a3"/>
            <w:lang w:val="en-US"/>
          </w:rPr>
          <w:t>pravda</w:t>
        </w:r>
        <w:proofErr w:type="spellEnd"/>
        <w:r w:rsidR="0046254B" w:rsidRPr="002F2523">
          <w:rPr>
            <w:rStyle w:val="a3"/>
          </w:rPr>
          <w:t>.</w:t>
        </w:r>
        <w:proofErr w:type="spellStart"/>
        <w:r w:rsidR="0046254B" w:rsidRPr="00C91C33">
          <w:rPr>
            <w:rStyle w:val="a3"/>
            <w:lang w:val="en-US"/>
          </w:rPr>
          <w:t>ru</w:t>
        </w:r>
        <w:proofErr w:type="spellEnd"/>
        <w:r w:rsidR="0046254B" w:rsidRPr="002F2523">
          <w:rPr>
            <w:rStyle w:val="a3"/>
          </w:rPr>
          <w:t>/</w:t>
        </w:r>
        <w:r w:rsidR="0046254B" w:rsidRPr="00C91C33">
          <w:rPr>
            <w:rStyle w:val="a3"/>
            <w:lang w:val="en-US"/>
          </w:rPr>
          <w:t>economics</w:t>
        </w:r>
        <w:r w:rsidR="0046254B" w:rsidRPr="002F2523">
          <w:rPr>
            <w:rStyle w:val="a3"/>
          </w:rPr>
          <w:t>/2336512-</w:t>
        </w:r>
        <w:proofErr w:type="spellStart"/>
        <w:r w:rsidR="0046254B" w:rsidRPr="00C91C33">
          <w:rPr>
            <w:rStyle w:val="a3"/>
            <w:lang w:val="en-US"/>
          </w:rPr>
          <w:t>russia</w:t>
        </w:r>
        <w:proofErr w:type="spellEnd"/>
        <w:r w:rsidR="0046254B" w:rsidRPr="002F2523">
          <w:rPr>
            <w:rStyle w:val="a3"/>
          </w:rPr>
          <w:t>-</w:t>
        </w:r>
        <w:r w:rsidR="0046254B" w:rsidRPr="00C91C33">
          <w:rPr>
            <w:rStyle w:val="a3"/>
            <w:lang w:val="en-US"/>
          </w:rPr>
          <w:t>inflation</w:t>
        </w:r>
        <w:r w:rsidR="0046254B" w:rsidRPr="002F2523">
          <w:rPr>
            <w:rStyle w:val="a3"/>
          </w:rPr>
          <w:t>-</w:t>
        </w:r>
        <w:r w:rsidR="0046254B" w:rsidRPr="00C91C33">
          <w:rPr>
            <w:rStyle w:val="a3"/>
            <w:lang w:val="en-US"/>
          </w:rPr>
          <w:t>slowdown</w:t>
        </w:r>
        <w:r w:rsidR="0046254B" w:rsidRPr="002F2523">
          <w:rPr>
            <w:rStyle w:val="a3"/>
          </w:rPr>
          <w:t>-2024/</w:t>
        </w:r>
      </w:hyperlink>
      <w:r w:rsidR="0046254B" w:rsidRPr="002F2523">
        <w:t xml:space="preserve"> </w:t>
      </w:r>
    </w:p>
    <w:p w14:paraId="70D75888" w14:textId="77777777" w:rsidR="00A275E0" w:rsidRPr="002F64E6" w:rsidRDefault="00A275E0" w:rsidP="00A275E0">
      <w:pPr>
        <w:pStyle w:val="2"/>
      </w:pPr>
      <w:bookmarkStart w:id="151" w:name="_Toc223591188"/>
      <w:r w:rsidRPr="002F64E6">
        <w:t>Век, 04.03.2026, Истинные причины снижения рождаемости во всем мире</w:t>
      </w:r>
      <w:bookmarkEnd w:id="151"/>
    </w:p>
    <w:p w14:paraId="106C4921" w14:textId="77777777" w:rsidR="00A275E0" w:rsidRPr="002F64E6" w:rsidRDefault="00A275E0" w:rsidP="003F5B32">
      <w:pPr>
        <w:pStyle w:val="3"/>
      </w:pPr>
      <w:bookmarkStart w:id="152" w:name="_Toc223591189"/>
      <w:r w:rsidRPr="002F64E6">
        <w:t>Почему люди во всем мире отказываются от рождения детей? Антрополог нашла неожиданный ответ: дело не в деньгах и не в карьере. Решающий фактор совсем иной, и он связан с тем, что делает нас людьми.</w:t>
      </w:r>
      <w:bookmarkEnd w:id="152"/>
    </w:p>
    <w:p w14:paraId="253E23DF" w14:textId="77777777" w:rsidR="00A275E0" w:rsidRPr="002F64E6" w:rsidRDefault="00A275E0" w:rsidP="00A275E0">
      <w:r w:rsidRPr="002F64E6">
        <w:t xml:space="preserve">Глобальный коэффициент рождаемости неуклонно падает на протяжении последних шести десятилетий. С 5,3 ребенка на женщину в 1963 году он опустился до 2,2 сегодня, а в развитых странах эти цифры значительно ниже критической отметки воспроизводства. Политики и СМИ бьют тревогу, связывая тенденцию с дороговизной жизни, жилищным кризисом или карьерными амбициями женщин. Однако когнитивный и эволюционный антрополог из Оксфорда </w:t>
      </w:r>
      <w:proofErr w:type="spellStart"/>
      <w:r w:rsidRPr="002F64E6">
        <w:t>Паула</w:t>
      </w:r>
      <w:proofErr w:type="spellEnd"/>
      <w:r w:rsidRPr="002F64E6">
        <w:t xml:space="preserve"> </w:t>
      </w:r>
      <w:proofErr w:type="spellStart"/>
      <w:r w:rsidRPr="002F64E6">
        <w:t>Шеппард</w:t>
      </w:r>
      <w:proofErr w:type="spellEnd"/>
      <w:r w:rsidRPr="002F64E6">
        <w:t xml:space="preserve"> утверждает, что стандартный демографический взгляд упускает главное и это нюансы индивидуального выбора.</w:t>
      </w:r>
    </w:p>
    <w:p w14:paraId="5BF2F448" w14:textId="77777777" w:rsidR="00A275E0" w:rsidRPr="002F64E6" w:rsidRDefault="00A275E0" w:rsidP="00A275E0">
      <w:proofErr w:type="spellStart"/>
      <w:r w:rsidRPr="002F64E6">
        <w:t>Шеппард</w:t>
      </w:r>
      <w:proofErr w:type="spellEnd"/>
      <w:r w:rsidRPr="002F64E6">
        <w:t xml:space="preserve"> призывает не поддаваться панике. Население планеты приближается к 9 миллиардам, и человечеству не грозит исчезновение. Но если люди хотят иметь двоих или троих детей, они должны иметь такую возможность. Проблема в том, что современная жизнь все чаще делает это невозможным, и причины кроются глубже, чем просто нехватка денег.</w:t>
      </w:r>
    </w:p>
    <w:p w14:paraId="129258EF" w14:textId="77777777" w:rsidR="00A275E0" w:rsidRPr="002F64E6" w:rsidRDefault="00A275E0" w:rsidP="00A275E0">
      <w:r w:rsidRPr="002F64E6">
        <w:t xml:space="preserve">Чтобы понять реальные мотивы, исследовательница применила необычный подход. Вместо анализа сухих статистических данных она провела эксперимент с дискретным выбором, метод, заимствованный из экономики. Участникам предлагалось оценить, какие именно условия могли бы побудить их завести желаемое количество детей. </w:t>
      </w:r>
      <w:r w:rsidRPr="002F64E6">
        <w:lastRenderedPageBreak/>
        <w:t>Результаты показали, что разные социальные группы сталкиваются с совершенно разными барьерами.</w:t>
      </w:r>
    </w:p>
    <w:p w14:paraId="136A7615" w14:textId="77777777" w:rsidR="00A275E0" w:rsidRPr="002F64E6" w:rsidRDefault="00A275E0" w:rsidP="00A275E0">
      <w:r w:rsidRPr="002F64E6">
        <w:t>Главным сюрпризом стало то, что финансовые затраты на уход за детьми хотя и важны, не являются первостепенным фактором. Намного важнее для людей оказалась социальная поддержка. Это перекликается с эволюционной историей человека, ведь наш вид всегда практиковал совместное воспитание потомства, или так называемое кооперативное размножение. Люди рожали детей каждые два года, полагаясь на помощь партнера, бабушек, дедушек и всей общины. Современная урбанизация разрушила эту деревню, оставив родителей в изоляции.</w:t>
      </w:r>
    </w:p>
    <w:p w14:paraId="7640D260" w14:textId="77777777" w:rsidR="00A275E0" w:rsidRPr="002F64E6" w:rsidRDefault="00A275E0" w:rsidP="00A275E0">
      <w:r w:rsidRPr="002F64E6">
        <w:t>Исследование выявило четкое разделение в зависимости от уровня образования. Мужчины и женщины без университетского диплома в первую очередь говорили о качестве района, наличии зеленых зон и нормальных школ. Они стремились к стабильности, но не обязательно к ипотеке. Их главный страх остаться матерью-одиночкой.</w:t>
      </w:r>
    </w:p>
    <w:p w14:paraId="2FD3A968" w14:textId="77777777" w:rsidR="00A275E0" w:rsidRPr="002F64E6" w:rsidRDefault="00A275E0" w:rsidP="00A275E0">
      <w:r w:rsidRPr="002F64E6">
        <w:t>Совсем иначе мыслили женщины с высшим образованием. Для них ключевым условием стало активное участие отца в воспитании детей. Эти женщины готовы откладывать материнство или вовсе отказаться от него, если не уверены, что партнер будет на равных менять подгузники и жертвовать карьерой. Они острее ощущают карьерные риски: декрет оборачивается не просто паузой, а потерей возможностей для продвижения. Мужчины с высшим образованием, в свою очередь, искали гибкий график и возможность работать из дома, чтобы быть вовлеченными в жизнь ребенка.</w:t>
      </w:r>
    </w:p>
    <w:p w14:paraId="6616D06C" w14:textId="77777777" w:rsidR="00A275E0" w:rsidRPr="002F64E6" w:rsidRDefault="00A275E0" w:rsidP="00A275E0">
      <w:r w:rsidRPr="002F64E6">
        <w:t>Именно это несоответствие между желаемым и действительным лежит в основе низкой рождаемости. В Великобритании на каждые три желанных ребенка рождается только два. Люди не разлюбили детей, они просто пытаются навести порядок в остальных сферах жизни. Из-за этого деторождение смещается на более поздний возраст, особенно после 30 лет, что объективно сокращает временное окно для создания большой семьи.</w:t>
      </w:r>
    </w:p>
    <w:p w14:paraId="1446B0AE" w14:textId="77777777" w:rsidR="00A275E0" w:rsidRPr="002F64E6" w:rsidRDefault="00A275E0" w:rsidP="00A275E0">
      <w:proofErr w:type="spellStart"/>
      <w:r w:rsidRPr="002F64E6">
        <w:t>Шеппард</w:t>
      </w:r>
      <w:proofErr w:type="spellEnd"/>
      <w:r w:rsidRPr="002F64E6">
        <w:t xml:space="preserve"> подчеркивает, что универсального решения не существует. Политика, работающая для домовладельцев, бесполезна для тех, кто предпочитает аренду. Субсидии помогают, но не создают деревню. Даже в скандинавских странах с их гендерным равенством и щедрыми пособиями рождаемость остается низкой.</w:t>
      </w:r>
    </w:p>
    <w:p w14:paraId="76F4B6D5" w14:textId="77777777" w:rsidR="00A275E0" w:rsidRPr="002F64E6" w:rsidRDefault="00A275E0" w:rsidP="00A275E0">
      <w:r w:rsidRPr="002F64E6">
        <w:t>Выход, по мнению антрополога, лежит в изменении самой культуры. Необходимо перестать противопоставлять работу и воспитание детей. Женщины всегда работали и всегда рожали, просто современная офисная среда построена по патриархальному шаблону, где дети не имеют права на существование. Сделать эти сферы совместимыми для разных людей с разными потребностями - вот истинный вызов для общества, столкнувшегося с демографическим спадом.</w:t>
      </w:r>
    </w:p>
    <w:p w14:paraId="185343A0" w14:textId="170494E4" w:rsidR="002D1A7F" w:rsidRPr="002F64E6" w:rsidRDefault="000D71EB" w:rsidP="00A275E0">
      <w:hyperlink r:id="rId51" w:history="1">
        <w:r w:rsidR="00A275E0" w:rsidRPr="002F64E6">
          <w:rPr>
            <w:rStyle w:val="a3"/>
          </w:rPr>
          <w:t>https://wek.ru/istinnye-prichiny-snizheniya-rozhdaemosti-vo-vsem-mire</w:t>
        </w:r>
      </w:hyperlink>
    </w:p>
    <w:p w14:paraId="3524E4FA" w14:textId="77777777" w:rsidR="00A275E0" w:rsidRPr="002F64E6" w:rsidRDefault="00A275E0" w:rsidP="00A275E0"/>
    <w:p w14:paraId="1648AE75" w14:textId="77777777" w:rsidR="00111D7C" w:rsidRPr="002F64E6" w:rsidRDefault="00111D7C" w:rsidP="00111D7C">
      <w:pPr>
        <w:pStyle w:val="251"/>
      </w:pPr>
      <w:bookmarkStart w:id="153" w:name="_Toc99271712"/>
      <w:bookmarkStart w:id="154" w:name="_Toc99318658"/>
      <w:bookmarkStart w:id="155" w:name="_Toc165991078"/>
      <w:bookmarkStart w:id="156" w:name="_Toc223591190"/>
      <w:bookmarkEnd w:id="128"/>
      <w:bookmarkEnd w:id="129"/>
      <w:r w:rsidRPr="002F64E6">
        <w:lastRenderedPageBreak/>
        <w:t>НОВОСТИ ЗАРУБЕЖНЫХ ПЕНСИОННЫХ СИСТЕМ</w:t>
      </w:r>
      <w:bookmarkEnd w:id="153"/>
      <w:bookmarkEnd w:id="154"/>
      <w:bookmarkEnd w:id="155"/>
      <w:bookmarkEnd w:id="156"/>
    </w:p>
    <w:p w14:paraId="7D59896E" w14:textId="77777777" w:rsidR="00111D7C" w:rsidRPr="002F64E6" w:rsidRDefault="00111D7C" w:rsidP="00111D7C">
      <w:pPr>
        <w:pStyle w:val="10"/>
      </w:pPr>
      <w:bookmarkStart w:id="157" w:name="_Toc99271713"/>
      <w:bookmarkStart w:id="158" w:name="_Toc99318659"/>
      <w:bookmarkStart w:id="159" w:name="_Toc165991079"/>
      <w:bookmarkStart w:id="160" w:name="_Toc223591191"/>
      <w:r w:rsidRPr="002F64E6">
        <w:t>Новости пенсионной отрасли стран ближнего зарубежья</w:t>
      </w:r>
      <w:bookmarkEnd w:id="157"/>
      <w:bookmarkEnd w:id="158"/>
      <w:bookmarkEnd w:id="159"/>
      <w:bookmarkEnd w:id="160"/>
    </w:p>
    <w:p w14:paraId="11F0FE4F" w14:textId="77777777" w:rsidR="00484FA0" w:rsidRPr="002F64E6" w:rsidRDefault="00484FA0" w:rsidP="00484FA0">
      <w:pPr>
        <w:pStyle w:val="2"/>
      </w:pPr>
      <w:bookmarkStart w:id="161" w:name="_Toc223591192"/>
      <w:r w:rsidRPr="002F64E6">
        <w:t xml:space="preserve">Tengrinews.kz, 04.03.2026, Пенсия от 500 тысяч до 1 миллиона: расчёт ЕНПФ для </w:t>
      </w:r>
      <w:proofErr w:type="spellStart"/>
      <w:r w:rsidRPr="002F64E6">
        <w:t>казахстанцев</w:t>
      </w:r>
      <w:bookmarkEnd w:id="161"/>
      <w:proofErr w:type="spellEnd"/>
    </w:p>
    <w:p w14:paraId="6558EAC6" w14:textId="77777777" w:rsidR="00484FA0" w:rsidRPr="002F64E6" w:rsidRDefault="00484FA0" w:rsidP="003F5B32">
      <w:pPr>
        <w:pStyle w:val="3"/>
      </w:pPr>
      <w:bookmarkStart w:id="162" w:name="_Toc223591193"/>
      <w:r w:rsidRPr="002F64E6">
        <w:t>Какой объём пенсионных накоплений необходим для того, чтобы ежемесячно получать пенсию от 500 тысяч до 1 миллиона тенге? На этот вопрос ответили в Едином накопительном пенсионном фонде, передаёт корреспондент Tengrinews.kz.</w:t>
      </w:r>
      <w:bookmarkEnd w:id="162"/>
    </w:p>
    <w:p w14:paraId="1F33921C" w14:textId="77777777" w:rsidR="00484FA0" w:rsidRPr="002F64E6" w:rsidRDefault="00484FA0" w:rsidP="00484FA0">
      <w:r w:rsidRPr="002F64E6">
        <w:t>Согласно расчётам фонда, для получения накопительной пенсии из ЕНПФ в размере:</w:t>
      </w:r>
    </w:p>
    <w:p w14:paraId="18791065" w14:textId="77777777" w:rsidR="00484FA0" w:rsidRPr="002F64E6" w:rsidRDefault="00484FA0" w:rsidP="00484FA0">
      <w:r w:rsidRPr="002F64E6">
        <w:t>500 000 тенге в месяц необходимо накопить 92,3 миллиона тенге;</w:t>
      </w:r>
    </w:p>
    <w:p w14:paraId="7776AC75" w14:textId="77777777" w:rsidR="00484FA0" w:rsidRPr="002F64E6" w:rsidRDefault="00484FA0" w:rsidP="00484FA0">
      <w:r w:rsidRPr="002F64E6">
        <w:t>800 000 тенге — 147,7 миллиона тенге;</w:t>
      </w:r>
    </w:p>
    <w:p w14:paraId="1EC3066F" w14:textId="77777777" w:rsidR="00484FA0" w:rsidRPr="002F64E6" w:rsidRDefault="00484FA0" w:rsidP="00484FA0">
      <w:r w:rsidRPr="002F64E6">
        <w:t>1 000 000 тенге — 184,6 миллиона тенге.</w:t>
      </w:r>
    </w:p>
    <w:p w14:paraId="3ADA829A" w14:textId="77777777" w:rsidR="00484FA0" w:rsidRPr="002F64E6" w:rsidRDefault="00484FA0" w:rsidP="00484FA0">
      <w:r w:rsidRPr="002F64E6">
        <w:t>В фонде уточнили, что такие расчёты основаны на условии полного трудового стажа: 40 лет регулярных пенсионных взносов.</w:t>
      </w:r>
    </w:p>
    <w:p w14:paraId="6BD12336" w14:textId="04269D22" w:rsidR="00484FA0" w:rsidRPr="002F64E6" w:rsidRDefault="00E77AB9" w:rsidP="00484FA0">
      <w:r>
        <w:t>«</w:t>
      </w:r>
      <w:r w:rsidR="00484FA0" w:rsidRPr="002F64E6">
        <w:t>Пенсионные выплаты из ЕНПФ рассчитываются по установленной методике. В первый год размер ежемесячной выплаты определяется исходя из ставки 6,5 процента от суммы накоплений, разделённой на 12 месяцев. Далее применяется ежегодная индексация 5 процентов</w:t>
      </w:r>
      <w:r>
        <w:t>»</w:t>
      </w:r>
      <w:r w:rsidR="00484FA0" w:rsidRPr="002F64E6">
        <w:t>, — говорится в ответе на официальный запрос редакции Tengrinews.kz.</w:t>
      </w:r>
    </w:p>
    <w:p w14:paraId="5140C394" w14:textId="77777777" w:rsidR="00484FA0" w:rsidRPr="002F64E6" w:rsidRDefault="00484FA0" w:rsidP="00484FA0">
      <w:r w:rsidRPr="002F64E6">
        <w:t>В качестве примера в фонде привели следующие расчёты:</w:t>
      </w:r>
    </w:p>
    <w:p w14:paraId="3C9BF36F" w14:textId="77777777" w:rsidR="00484FA0" w:rsidRPr="002F64E6" w:rsidRDefault="00484FA0" w:rsidP="00484FA0">
      <w:r w:rsidRPr="002F64E6">
        <w:t>при накоплениях 10 миллионов тенге пенсия составит 54 167 тенге;</w:t>
      </w:r>
    </w:p>
    <w:p w14:paraId="45D6CE07" w14:textId="77777777" w:rsidR="00484FA0" w:rsidRPr="002F64E6" w:rsidRDefault="00484FA0" w:rsidP="00484FA0">
      <w:r w:rsidRPr="002F64E6">
        <w:t>50 миллионов тенге — 270 833 тенге;</w:t>
      </w:r>
    </w:p>
    <w:p w14:paraId="5CAAC12D" w14:textId="77777777" w:rsidR="00484FA0" w:rsidRPr="002F64E6" w:rsidRDefault="00484FA0" w:rsidP="00484FA0">
      <w:r w:rsidRPr="002F64E6">
        <w:t>100 миллионов тенге — 541 667 тенге.</w:t>
      </w:r>
    </w:p>
    <w:p w14:paraId="1DC1C500" w14:textId="77777777" w:rsidR="00484FA0" w:rsidRPr="002F64E6" w:rsidRDefault="00484FA0" w:rsidP="00484FA0">
      <w:r w:rsidRPr="002F64E6">
        <w:t>При этом доля инвестиционного дохода в общем объёме пенсионных накоплений вкладчиков может составлять от 40 до 70 процентов.</w:t>
      </w:r>
    </w:p>
    <w:p w14:paraId="2DAF48D3" w14:textId="77777777" w:rsidR="00484FA0" w:rsidRPr="002F64E6" w:rsidRDefault="00484FA0" w:rsidP="00484FA0">
      <w:r w:rsidRPr="002F64E6">
        <w:t>В пенсионном фонде подчеркнули, что размер выплат напрямую зависит от продолжительности участия в системе и регулярности взносов.</w:t>
      </w:r>
    </w:p>
    <w:p w14:paraId="3889867E" w14:textId="77777777" w:rsidR="00484FA0" w:rsidRPr="002F64E6" w:rsidRDefault="00484FA0" w:rsidP="00484FA0">
      <w:r w:rsidRPr="002F64E6">
        <w:t xml:space="preserve">Ранее в ЕНПФ рассказали, какую пенсию будут получать </w:t>
      </w:r>
      <w:proofErr w:type="spellStart"/>
      <w:r w:rsidRPr="002F64E6">
        <w:t>казахстанцы</w:t>
      </w:r>
      <w:proofErr w:type="spellEnd"/>
      <w:r w:rsidRPr="002F64E6">
        <w:t>, которые нигде не работали.</w:t>
      </w:r>
    </w:p>
    <w:p w14:paraId="0EF96053" w14:textId="77777777" w:rsidR="00484FA0" w:rsidRPr="002F64E6" w:rsidRDefault="00484FA0" w:rsidP="00484FA0">
      <w:r w:rsidRPr="002F64E6">
        <w:t>Контекст</w:t>
      </w:r>
    </w:p>
    <w:p w14:paraId="0FF10DBF" w14:textId="77777777" w:rsidR="00484FA0" w:rsidRPr="002F64E6" w:rsidRDefault="00484FA0" w:rsidP="00484FA0">
      <w:r w:rsidRPr="002F64E6">
        <w:t>Ранее в Министерстве труда и социальной защиты населения сообщили о текущем размере пенсий в Казахстане.</w:t>
      </w:r>
    </w:p>
    <w:p w14:paraId="2DA917B4" w14:textId="2603118D" w:rsidR="00484FA0" w:rsidRPr="002F64E6" w:rsidRDefault="00E77AB9" w:rsidP="00484FA0">
      <w:r>
        <w:t>«</w:t>
      </w:r>
      <w:r w:rsidR="00484FA0" w:rsidRPr="002F64E6">
        <w:t>Средний размер совокупной пенсии на 1 февраля 2026 года составил 157 843 тенге, в том числе размер солидарной пенсии — 103 931 тенге, базовой пенсии — 53 912 тенге</w:t>
      </w:r>
      <w:r>
        <w:t>»</w:t>
      </w:r>
      <w:r w:rsidR="00484FA0" w:rsidRPr="002F64E6">
        <w:t xml:space="preserve">, — сообщили </w:t>
      </w:r>
      <w:proofErr w:type="gramStart"/>
      <w:r w:rsidR="00484FA0" w:rsidRPr="002F64E6">
        <w:t>в Минтруда</w:t>
      </w:r>
      <w:proofErr w:type="gramEnd"/>
      <w:r w:rsidR="00484FA0" w:rsidRPr="002F64E6">
        <w:t>.</w:t>
      </w:r>
    </w:p>
    <w:p w14:paraId="4AFF1A86" w14:textId="77777777" w:rsidR="00484FA0" w:rsidRPr="002F64E6" w:rsidRDefault="00484FA0" w:rsidP="00484FA0">
      <w:r w:rsidRPr="002F64E6">
        <w:lastRenderedPageBreak/>
        <w:t>Напомним: с 1 января 2026 года в Казахстане на 10 процентов проиндексированы все виды государственных пособий, а также базовые и солидарные пенсии. Индексация предусмотрена законом о республиканском бюджете на 2026–2028 годы с учётом прогнозной инфляции Национального банка.</w:t>
      </w:r>
    </w:p>
    <w:p w14:paraId="6EFA3360" w14:textId="5E4BD035" w:rsidR="00111D7C" w:rsidRPr="002F64E6" w:rsidRDefault="000D71EB" w:rsidP="00484FA0">
      <w:hyperlink r:id="rId52" w:history="1">
        <w:r w:rsidR="00484FA0" w:rsidRPr="002F64E6">
          <w:rPr>
            <w:rStyle w:val="a3"/>
          </w:rPr>
          <w:t>https://tengrinews.kz/kazakhstan_news/pensiya-500-tyisyach-1-milliona-rascht-enpf-kazahstantsev-593438/</w:t>
        </w:r>
      </w:hyperlink>
    </w:p>
    <w:p w14:paraId="2481D56D" w14:textId="77777777" w:rsidR="00484FA0" w:rsidRPr="002F64E6" w:rsidRDefault="00484FA0" w:rsidP="00484FA0"/>
    <w:p w14:paraId="0F91D1CE" w14:textId="77777777" w:rsidR="00111D7C" w:rsidRPr="002F64E6" w:rsidRDefault="00111D7C" w:rsidP="00111D7C">
      <w:pPr>
        <w:pStyle w:val="10"/>
      </w:pPr>
      <w:bookmarkStart w:id="163" w:name="_Toc99271715"/>
      <w:bookmarkStart w:id="164" w:name="_Toc99318660"/>
      <w:bookmarkStart w:id="165" w:name="_Toc165991080"/>
      <w:bookmarkStart w:id="166" w:name="_Toc223591194"/>
      <w:r w:rsidRPr="002F64E6">
        <w:t>Новости пенсионной отрасли стран дальнего зарубежья</w:t>
      </w:r>
      <w:bookmarkEnd w:id="163"/>
      <w:bookmarkEnd w:id="164"/>
      <w:bookmarkEnd w:id="165"/>
      <w:bookmarkEnd w:id="166"/>
    </w:p>
    <w:p w14:paraId="16D118BE" w14:textId="756C05F9" w:rsidR="007B7F89" w:rsidRPr="002F64E6" w:rsidRDefault="007B7F89" w:rsidP="007B7F89">
      <w:pPr>
        <w:pStyle w:val="2"/>
      </w:pPr>
      <w:bookmarkStart w:id="167" w:name="_Toc223591195"/>
      <w:bookmarkEnd w:id="118"/>
      <w:proofErr w:type="spellStart"/>
      <w:r w:rsidRPr="002F64E6">
        <w:t>Bits.media</w:t>
      </w:r>
      <w:proofErr w:type="spellEnd"/>
      <w:r w:rsidRPr="002F64E6">
        <w:t xml:space="preserve">, 04.03.2026, </w:t>
      </w:r>
      <w:proofErr w:type="gramStart"/>
      <w:r w:rsidRPr="002F64E6">
        <w:t>В</w:t>
      </w:r>
      <w:proofErr w:type="gramEnd"/>
      <w:r w:rsidRPr="002F64E6">
        <w:t xml:space="preserve"> штате Индиана разрешили инвестировать пенсионные накопления в </w:t>
      </w:r>
      <w:proofErr w:type="spellStart"/>
      <w:r w:rsidRPr="002F64E6">
        <w:t>криптофонды</w:t>
      </w:r>
      <w:bookmarkEnd w:id="167"/>
      <w:proofErr w:type="spellEnd"/>
    </w:p>
    <w:p w14:paraId="6EAEF954" w14:textId="77777777" w:rsidR="007B7F89" w:rsidRPr="002F64E6" w:rsidRDefault="007B7F89" w:rsidP="003F5B32">
      <w:pPr>
        <w:pStyle w:val="3"/>
      </w:pPr>
      <w:bookmarkStart w:id="168" w:name="_Toc223591196"/>
      <w:r w:rsidRPr="002F64E6">
        <w:t>Губернатор штата Индиана Майк Браун (</w:t>
      </w:r>
      <w:proofErr w:type="spellStart"/>
      <w:r w:rsidRPr="002F64E6">
        <w:t>Mike</w:t>
      </w:r>
      <w:proofErr w:type="spellEnd"/>
      <w:r w:rsidRPr="002F64E6">
        <w:t xml:space="preserve"> </w:t>
      </w:r>
      <w:proofErr w:type="spellStart"/>
      <w:r w:rsidRPr="002F64E6">
        <w:t>Braun</w:t>
      </w:r>
      <w:proofErr w:type="spellEnd"/>
      <w:r w:rsidRPr="002F64E6">
        <w:t xml:space="preserve">) подписал законопроект, запрещающий местным органам власти вводить дискриминационные налоги и ограничения на операции с </w:t>
      </w:r>
      <w:proofErr w:type="spellStart"/>
      <w:r w:rsidRPr="002F64E6">
        <w:t>криптовалютами</w:t>
      </w:r>
      <w:proofErr w:type="spellEnd"/>
      <w:r w:rsidRPr="002F64E6">
        <w:t xml:space="preserve">, а также разрешающий направлять пенсионные накопления в </w:t>
      </w:r>
      <w:proofErr w:type="spellStart"/>
      <w:r w:rsidRPr="002F64E6">
        <w:t>криптовалютные</w:t>
      </w:r>
      <w:proofErr w:type="spellEnd"/>
      <w:r w:rsidRPr="002F64E6">
        <w:t xml:space="preserve"> инвестиционные фонды.</w:t>
      </w:r>
      <w:bookmarkEnd w:id="168"/>
    </w:p>
    <w:p w14:paraId="499FF038" w14:textId="77777777" w:rsidR="007B7F89" w:rsidRPr="002F64E6" w:rsidRDefault="007B7F89" w:rsidP="007B7F89">
      <w:r w:rsidRPr="002F64E6">
        <w:t>Законопроект внес член Палаты представителей штата Кайл Пирс (</w:t>
      </w:r>
      <w:proofErr w:type="spellStart"/>
      <w:r w:rsidRPr="002F64E6">
        <w:t>Kyle</w:t>
      </w:r>
      <w:proofErr w:type="spellEnd"/>
      <w:r w:rsidRPr="002F64E6">
        <w:t xml:space="preserve"> </w:t>
      </w:r>
      <w:proofErr w:type="spellStart"/>
      <w:r w:rsidRPr="002F64E6">
        <w:t>Pierce</w:t>
      </w:r>
      <w:proofErr w:type="spellEnd"/>
      <w:r w:rsidRPr="002F64E6">
        <w:t xml:space="preserve">), представляющий Республиканскую партию США. Документ определяет </w:t>
      </w:r>
      <w:proofErr w:type="spellStart"/>
      <w:r w:rsidRPr="002F64E6">
        <w:t>криптовалюты</w:t>
      </w:r>
      <w:proofErr w:type="spellEnd"/>
      <w:r w:rsidRPr="002F64E6">
        <w:t xml:space="preserve"> как цифровое средство обмена, защищенное криптографией и не выпускаемое центральным банком или иным централизованным органом.</w:t>
      </w:r>
    </w:p>
    <w:p w14:paraId="17CF72FB" w14:textId="77777777" w:rsidR="007B7F89" w:rsidRPr="002F64E6" w:rsidRDefault="007B7F89" w:rsidP="007B7F89">
      <w:r w:rsidRPr="002F64E6">
        <w:t xml:space="preserve">Согласно подписанному закону, в государственных пенсионных фондах и сберегательных программах должна появиться опция самостоятельного брокерского обслуживания. Она должна включать как минимум один инвестиционный инструмент, связанный с </w:t>
      </w:r>
      <w:proofErr w:type="spellStart"/>
      <w:r w:rsidRPr="002F64E6">
        <w:t>криптовалютами</w:t>
      </w:r>
      <w:proofErr w:type="spellEnd"/>
      <w:r w:rsidRPr="002F64E6">
        <w:t xml:space="preserve">. В качестве примера приводятся регулируемые биржевые фонды (ETF), привязанные к </w:t>
      </w:r>
      <w:proofErr w:type="spellStart"/>
      <w:r w:rsidRPr="002F64E6">
        <w:t>биткоину</w:t>
      </w:r>
      <w:proofErr w:type="spellEnd"/>
      <w:r w:rsidRPr="002F64E6">
        <w:t>.</w:t>
      </w:r>
    </w:p>
    <w:p w14:paraId="0C7ACA79" w14:textId="77777777" w:rsidR="007B7F89" w:rsidRPr="002F64E6" w:rsidRDefault="007B7F89" w:rsidP="007B7F89">
      <w:r w:rsidRPr="002F64E6">
        <w:t xml:space="preserve">При этом пенсионные фонды не обязаны напрямую покупать или хранить цифровые активы в своих основных портфелях. Решение о направлении части пенсионных накоплений в </w:t>
      </w:r>
      <w:proofErr w:type="spellStart"/>
      <w:r w:rsidRPr="002F64E6">
        <w:t>криптовалютные</w:t>
      </w:r>
      <w:proofErr w:type="spellEnd"/>
      <w:r w:rsidRPr="002F64E6">
        <w:t xml:space="preserve"> инвестиции будет принимать сам участник программы. Доступ к таким инструментам должен появиться не позднее 1 июля 2027 года.</w:t>
      </w:r>
    </w:p>
    <w:p w14:paraId="5DB63BC7" w14:textId="77777777" w:rsidR="007B7F89" w:rsidRPr="002F64E6" w:rsidRDefault="007B7F89" w:rsidP="007B7F89">
      <w:r w:rsidRPr="002F64E6">
        <w:t xml:space="preserve">Закон также запрещает государственным и муниципальным органам вводить специальные налоги или сборы за использование </w:t>
      </w:r>
      <w:proofErr w:type="spellStart"/>
      <w:r w:rsidRPr="002F64E6">
        <w:t>криптовалют</w:t>
      </w:r>
      <w:proofErr w:type="spellEnd"/>
      <w:r w:rsidRPr="002F64E6">
        <w:t xml:space="preserve"> при оплате товаров и услуг. Аналогичные ограничения распространяются на граждан, которые самостоятельно хранят цифровые активы в программных или аппаратных </w:t>
      </w:r>
      <w:proofErr w:type="spellStart"/>
      <w:r w:rsidRPr="002F64E6">
        <w:t>криптокошельках</w:t>
      </w:r>
      <w:proofErr w:type="spellEnd"/>
      <w:r w:rsidRPr="002F64E6">
        <w:t>.</w:t>
      </w:r>
    </w:p>
    <w:p w14:paraId="3320277F" w14:textId="77777777" w:rsidR="007B7F89" w:rsidRPr="002F64E6" w:rsidRDefault="007B7F89" w:rsidP="007B7F89">
      <w:r w:rsidRPr="002F64E6">
        <w:t xml:space="preserve">Несколько лет назад власти Индиана заявили о планах привлечь крупные технологические компании, включая </w:t>
      </w:r>
      <w:proofErr w:type="spellStart"/>
      <w:r w:rsidRPr="002F64E6">
        <w:t>Amazon</w:t>
      </w:r>
      <w:proofErr w:type="spellEnd"/>
      <w:r w:rsidRPr="002F64E6">
        <w:t xml:space="preserve">, </w:t>
      </w:r>
      <w:proofErr w:type="spellStart"/>
      <w:r w:rsidRPr="002F64E6">
        <w:t>Google</w:t>
      </w:r>
      <w:proofErr w:type="spellEnd"/>
      <w:r w:rsidRPr="002F64E6">
        <w:t xml:space="preserve"> и </w:t>
      </w:r>
      <w:proofErr w:type="spellStart"/>
      <w:r w:rsidRPr="002F64E6">
        <w:t>Microsoft</w:t>
      </w:r>
      <w:proofErr w:type="spellEnd"/>
      <w:r w:rsidRPr="002F64E6">
        <w:t xml:space="preserve">, для создания </w:t>
      </w:r>
      <w:proofErr w:type="spellStart"/>
      <w:r w:rsidRPr="002F64E6">
        <w:t>майнинговых</w:t>
      </w:r>
      <w:proofErr w:type="spellEnd"/>
      <w:r w:rsidRPr="002F64E6">
        <w:t xml:space="preserve"> центров с доступом к дешевой электроэнергии. По мнению местных властей, это должно усилить позиции штата как одного из центров добычи </w:t>
      </w:r>
      <w:proofErr w:type="spellStart"/>
      <w:r w:rsidRPr="002F64E6">
        <w:t>криптовалют</w:t>
      </w:r>
      <w:proofErr w:type="spellEnd"/>
      <w:r w:rsidRPr="002F64E6">
        <w:t xml:space="preserve"> в США.</w:t>
      </w:r>
    </w:p>
    <w:p w14:paraId="682A7CE9" w14:textId="39538D5F" w:rsidR="00CA32BC" w:rsidRPr="002F64E6" w:rsidRDefault="000D71EB" w:rsidP="007B7F89">
      <w:hyperlink r:id="rId53" w:history="1">
        <w:r w:rsidR="007B7F89" w:rsidRPr="002F64E6">
          <w:rPr>
            <w:rStyle w:val="a3"/>
          </w:rPr>
          <w:t>https://bits.media/v-shtate-indiana-razreshili-investirovat-pensionnye-nakopleniya-v-kriptofondy/</w:t>
        </w:r>
      </w:hyperlink>
    </w:p>
    <w:p w14:paraId="003604E0" w14:textId="77777777" w:rsidR="007B7F89" w:rsidRPr="002F64E6" w:rsidRDefault="007B7F89" w:rsidP="007B7F89"/>
    <w:sectPr w:rsidR="007B7F89" w:rsidRPr="002F64E6"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0306" w14:textId="77777777" w:rsidR="000D71EB" w:rsidRDefault="000D71EB">
      <w:r>
        <w:separator/>
      </w:r>
    </w:p>
  </w:endnote>
  <w:endnote w:type="continuationSeparator" w:id="0">
    <w:p w14:paraId="7245C551" w14:textId="77777777" w:rsidR="000D71EB" w:rsidRDefault="000D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746F39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850ED7" w:rsidRPr="00850ED7">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3B48" w14:textId="77777777" w:rsidR="000D71EB" w:rsidRDefault="000D71EB">
      <w:r>
        <w:separator/>
      </w:r>
    </w:p>
  </w:footnote>
  <w:footnote w:type="continuationSeparator" w:id="0">
    <w:p w14:paraId="16166DE0" w14:textId="77777777" w:rsidR="000D71EB" w:rsidRDefault="000D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A1D0E"/>
    <w:multiLevelType w:val="singleLevel"/>
    <w:tmpl w:val="D1CE738C"/>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EEB546A"/>
    <w:multiLevelType w:val="singleLevel"/>
    <w:tmpl w:val="77C4065A"/>
    <w:lvl w:ilvl="0">
      <w:start w:val="1"/>
      <w:numFmt w:val="decimal"/>
      <w:lvlText w:val="%1."/>
      <w:lvlJc w:val="left"/>
      <w:pPr>
        <w:ind w:left="42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29"/>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8"/>
  </w:num>
  <w:num w:numId="25">
    <w:abstractNumId w:val="21"/>
  </w:num>
  <w:num w:numId="26">
    <w:abstractNumId w:val="14"/>
  </w:num>
  <w:num w:numId="27">
    <w:abstractNumId w:val="12"/>
  </w:num>
  <w:num w:numId="28">
    <w:abstractNumId w:val="24"/>
  </w:num>
  <w:num w:numId="29">
    <w:abstractNumId w:val="25"/>
  </w:num>
  <w:num w:numId="30">
    <w:abstractNumId w:val="15"/>
  </w:num>
  <w:num w:numId="31">
    <w:abstractNumId w:val="23"/>
    <w:lvlOverride w:ilvl="0">
      <w:startOverride w:val="1"/>
    </w:lvlOverride>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10"/>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805"/>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1EB"/>
    <w:rsid w:val="000D73FB"/>
    <w:rsid w:val="000E091C"/>
    <w:rsid w:val="000E0AE6"/>
    <w:rsid w:val="000E0F9A"/>
    <w:rsid w:val="000E13FC"/>
    <w:rsid w:val="000E2346"/>
    <w:rsid w:val="000E278F"/>
    <w:rsid w:val="000E2D7E"/>
    <w:rsid w:val="000E33F0"/>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81F"/>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A33"/>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1EC1"/>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B23"/>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59"/>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5810"/>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0D24"/>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25A7"/>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A7F"/>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523"/>
    <w:rsid w:val="002F26F1"/>
    <w:rsid w:val="002F2FEC"/>
    <w:rsid w:val="002F33B9"/>
    <w:rsid w:val="002F3460"/>
    <w:rsid w:val="002F4A92"/>
    <w:rsid w:val="002F63E0"/>
    <w:rsid w:val="002F64B3"/>
    <w:rsid w:val="002F64E6"/>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1DDC"/>
    <w:rsid w:val="003137DE"/>
    <w:rsid w:val="0031419C"/>
    <w:rsid w:val="003147BC"/>
    <w:rsid w:val="00314B82"/>
    <w:rsid w:val="00314C96"/>
    <w:rsid w:val="003154E9"/>
    <w:rsid w:val="00315CA4"/>
    <w:rsid w:val="00315D27"/>
    <w:rsid w:val="00315F73"/>
    <w:rsid w:val="003166E1"/>
    <w:rsid w:val="003168DF"/>
    <w:rsid w:val="00316B7D"/>
    <w:rsid w:val="00316C59"/>
    <w:rsid w:val="00316CC3"/>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670"/>
    <w:rsid w:val="0032797B"/>
    <w:rsid w:val="00327A72"/>
    <w:rsid w:val="00330860"/>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092"/>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5FD"/>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6BC"/>
    <w:rsid w:val="003B172F"/>
    <w:rsid w:val="003B18CA"/>
    <w:rsid w:val="003B23DB"/>
    <w:rsid w:val="003B26BF"/>
    <w:rsid w:val="003B2C77"/>
    <w:rsid w:val="003B36EE"/>
    <w:rsid w:val="003B390E"/>
    <w:rsid w:val="003B39D9"/>
    <w:rsid w:val="003B3BAA"/>
    <w:rsid w:val="003B3D46"/>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49AA"/>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4B1"/>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5B32"/>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284"/>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9CB"/>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7D2"/>
    <w:rsid w:val="00430C37"/>
    <w:rsid w:val="004311A6"/>
    <w:rsid w:val="004313E4"/>
    <w:rsid w:val="0043207F"/>
    <w:rsid w:val="00433AB2"/>
    <w:rsid w:val="004341CE"/>
    <w:rsid w:val="0043425E"/>
    <w:rsid w:val="004352C6"/>
    <w:rsid w:val="004368CA"/>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B1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54B"/>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4FA0"/>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187"/>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26F0"/>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CC0"/>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10B"/>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0DD"/>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3E22"/>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3F9A"/>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509"/>
    <w:rsid w:val="006406AF"/>
    <w:rsid w:val="006411FF"/>
    <w:rsid w:val="006412B6"/>
    <w:rsid w:val="0064143C"/>
    <w:rsid w:val="0064145C"/>
    <w:rsid w:val="00642769"/>
    <w:rsid w:val="00643438"/>
    <w:rsid w:val="0064371E"/>
    <w:rsid w:val="006438E8"/>
    <w:rsid w:val="006438F8"/>
    <w:rsid w:val="00643F4B"/>
    <w:rsid w:val="00644053"/>
    <w:rsid w:val="0064460A"/>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3F4"/>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CC3"/>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71EB"/>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38E"/>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76B"/>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5D4"/>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F89"/>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2F6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6DD"/>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0ED7"/>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52F9"/>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3BD"/>
    <w:rsid w:val="0091271E"/>
    <w:rsid w:val="009127B6"/>
    <w:rsid w:val="0091286F"/>
    <w:rsid w:val="00912B0A"/>
    <w:rsid w:val="00912BF4"/>
    <w:rsid w:val="00912E66"/>
    <w:rsid w:val="00913E8A"/>
    <w:rsid w:val="00915531"/>
    <w:rsid w:val="00915C94"/>
    <w:rsid w:val="00916A0D"/>
    <w:rsid w:val="009171B7"/>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CB4"/>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3A6F"/>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141"/>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5E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573"/>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57CF"/>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16F"/>
    <w:rsid w:val="00AF52CC"/>
    <w:rsid w:val="00AF603C"/>
    <w:rsid w:val="00AF6323"/>
    <w:rsid w:val="00AF67C8"/>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4E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6B1"/>
    <w:rsid w:val="00B22860"/>
    <w:rsid w:val="00B228B6"/>
    <w:rsid w:val="00B230A6"/>
    <w:rsid w:val="00B230A8"/>
    <w:rsid w:val="00B23749"/>
    <w:rsid w:val="00B24893"/>
    <w:rsid w:val="00B24CA4"/>
    <w:rsid w:val="00B24CE8"/>
    <w:rsid w:val="00B25336"/>
    <w:rsid w:val="00B25D77"/>
    <w:rsid w:val="00B267B2"/>
    <w:rsid w:val="00B30632"/>
    <w:rsid w:val="00B31246"/>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5A78"/>
    <w:rsid w:val="00B66619"/>
    <w:rsid w:val="00B6704E"/>
    <w:rsid w:val="00B67ADE"/>
    <w:rsid w:val="00B67AEE"/>
    <w:rsid w:val="00B67C6F"/>
    <w:rsid w:val="00B67DFC"/>
    <w:rsid w:val="00B67F49"/>
    <w:rsid w:val="00B71381"/>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6B96"/>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1E9A"/>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2E7"/>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1B"/>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6EB"/>
    <w:rsid w:val="00D257CF"/>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8FC"/>
    <w:rsid w:val="00D439A5"/>
    <w:rsid w:val="00D446E1"/>
    <w:rsid w:val="00D45A28"/>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5B34"/>
    <w:rsid w:val="00D57BFF"/>
    <w:rsid w:val="00D57FEE"/>
    <w:rsid w:val="00D60C65"/>
    <w:rsid w:val="00D622F8"/>
    <w:rsid w:val="00D62E72"/>
    <w:rsid w:val="00D63B85"/>
    <w:rsid w:val="00D64E5C"/>
    <w:rsid w:val="00D65D86"/>
    <w:rsid w:val="00D65E47"/>
    <w:rsid w:val="00D6628D"/>
    <w:rsid w:val="00D671BF"/>
    <w:rsid w:val="00D67BC3"/>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5DC0"/>
    <w:rsid w:val="00D96678"/>
    <w:rsid w:val="00D96DD8"/>
    <w:rsid w:val="00D975F4"/>
    <w:rsid w:val="00D97C7D"/>
    <w:rsid w:val="00D97F24"/>
    <w:rsid w:val="00DA014E"/>
    <w:rsid w:val="00DA074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A8C"/>
    <w:rsid w:val="00E56FE2"/>
    <w:rsid w:val="00E5714E"/>
    <w:rsid w:val="00E57C18"/>
    <w:rsid w:val="00E57E43"/>
    <w:rsid w:val="00E6034D"/>
    <w:rsid w:val="00E603AE"/>
    <w:rsid w:val="00E60AD7"/>
    <w:rsid w:val="00E60CA4"/>
    <w:rsid w:val="00E60F7F"/>
    <w:rsid w:val="00E610A4"/>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AB9"/>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08B"/>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6C2C"/>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D7F2E"/>
    <w:rsid w:val="00EE04D7"/>
    <w:rsid w:val="00EE1837"/>
    <w:rsid w:val="00EE1F0E"/>
    <w:rsid w:val="00EE2495"/>
    <w:rsid w:val="00EE2E10"/>
    <w:rsid w:val="00EE366B"/>
    <w:rsid w:val="00EE3D39"/>
    <w:rsid w:val="00EE4309"/>
    <w:rsid w:val="00EE4A85"/>
    <w:rsid w:val="00EE4F68"/>
    <w:rsid w:val="00EE5C09"/>
    <w:rsid w:val="00EE5E1B"/>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806"/>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2F04"/>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5DE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35F"/>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22141"/>
    <w:rPr>
      <w:color w:val="605E5C"/>
      <w:shd w:val="clear" w:color="auto" w:fill="E1DFDD"/>
    </w:rPr>
  </w:style>
  <w:style w:type="paragraph" w:styleId="aff7">
    <w:name w:val="Revision"/>
    <w:hidden/>
    <w:uiPriority w:val="99"/>
    <w:semiHidden/>
    <w:rsid w:val="003F5B32"/>
    <w:rPr>
      <w:sz w:val="24"/>
      <w:szCs w:val="24"/>
    </w:rPr>
  </w:style>
  <w:style w:type="table" w:customStyle="1" w:styleId="TableGrid1">
    <w:name w:val="Table Grid1"/>
    <w:basedOn w:val="a1"/>
    <w:next w:val="a4"/>
    <w:uiPriority w:val="59"/>
    <w:rsid w:val="00C61E9A"/>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4"/>
    <w:uiPriority w:val="59"/>
    <w:rsid w:val="004159CB"/>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04390221">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9a7e7189a7947a93ad75c31" TargetMode="External"/><Relationship Id="rId18" Type="http://schemas.openxmlformats.org/officeDocument/2006/relationships/hyperlink" Target="https://rskrf.ru/tips/obzory-i-topy/programma-dolgosrochnykh-sberezheniy-plyusy-i-minusy/" TargetMode="External"/><Relationship Id="rId26" Type="http://schemas.openxmlformats.org/officeDocument/2006/relationships/hyperlink" Target="https://vtinform.com/news/142/224147/" TargetMode="External"/><Relationship Id="rId39" Type="http://schemas.openxmlformats.org/officeDocument/2006/relationships/hyperlink" Target="https://www.vedomosti.ru/economics/news/2026/03/02/1180777-minfin-prodal-yuanei?from=newsline" TargetMode="External"/><Relationship Id="rId21" Type="http://schemas.openxmlformats.org/officeDocument/2006/relationships/hyperlink" Target="https://www.bankdelo.ru/fingram/news/pub/13290" TargetMode="External"/><Relationship Id="rId34" Type="http://schemas.openxmlformats.org/officeDocument/2006/relationships/hyperlink" Target="https://www.pravda.ru/economics/2336278-pension-indexation-spring-2026/" TargetMode="External"/><Relationship Id="rId42" Type="http://schemas.openxmlformats.org/officeDocument/2006/relationships/hyperlink" Target="https://companies.rbc.ru/news/K816OXnWGH/klassyi-investitsionnyih-paev-kak-menyaetsya-struktura-zpif-v-marte-2026/" TargetMode="External"/><Relationship Id="rId47" Type="http://schemas.openxmlformats.org/officeDocument/2006/relationships/hyperlink" Target="https://spark.ru/user/267867/blog/309333/nalogi-2026-13-izmenenij-kotorie-rabotayut-v-polzu-biznesa" TargetMode="External"/><Relationship Id="rId50" Type="http://schemas.openxmlformats.org/officeDocument/2006/relationships/hyperlink" Target="https://www.pravda.ru/economics/2336512-russia-inflation-slowdown-2024/"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xpert.ru/news/v-tsb-otmetili-slabyy-interes-molodezhi-k-programme-dolgosrochnykh-sberezheniy/" TargetMode="External"/><Relationship Id="rId29" Type="http://schemas.openxmlformats.org/officeDocument/2006/relationships/hyperlink" Target="https://fedpress.ru/news/77/society/3427638" TargetMode="External"/><Relationship Id="rId11" Type="http://schemas.openxmlformats.org/officeDocument/2006/relationships/hyperlink" Target="http://www.finmarket.ru/news/6572444" TargetMode="External"/><Relationship Id="rId24" Type="http://schemas.openxmlformats.org/officeDocument/2006/relationships/hyperlink" Target="https://vsluh.ru/novosti/dengi/zhiteli-tyumenskoy-matreshki-vlozhili-v-programmu-dolgosrochnykh-sberezheniy-23-milliarda-rubley_424718/" TargetMode="External"/><Relationship Id="rId32" Type="http://schemas.openxmlformats.org/officeDocument/2006/relationships/hyperlink" Target="https://www.vbr.ru/help/novosti/novaya-lgota-dlya-veteranov-tryda-93919/" TargetMode="External"/><Relationship Id="rId37" Type="http://schemas.openxmlformats.org/officeDocument/2006/relationships/hyperlink" Target="https://primpress.ru/article/132315" TargetMode="External"/><Relationship Id="rId40" Type="http://schemas.openxmlformats.org/officeDocument/2006/relationships/hyperlink" Target="https://govoritmoskva.ru/news/484347/" TargetMode="External"/><Relationship Id="rId45" Type="http://schemas.openxmlformats.org/officeDocument/2006/relationships/hyperlink" Target="https://tass.ru/obschestvo/26640491" TargetMode="External"/><Relationship Id="rId53" Type="http://schemas.openxmlformats.org/officeDocument/2006/relationships/hyperlink" Target="https://bits.media/v-shtate-indiana-razreshili-investirovat-pensionnye-nakopleniya-v-kriptofondy/" TargetMode="External"/><Relationship Id="rId5" Type="http://schemas.openxmlformats.org/officeDocument/2006/relationships/footnotes" Target="footnotes.xml"/><Relationship Id="rId19" Type="http://schemas.openxmlformats.org/officeDocument/2006/relationships/hyperlink" Target="https://konkurent.ru/article/85139" TargetMode="External"/><Relationship Id="rId4" Type="http://schemas.openxmlformats.org/officeDocument/2006/relationships/webSettings" Target="webSettings.xml"/><Relationship Id="rId9" Type="http://schemas.openxmlformats.org/officeDocument/2006/relationships/hyperlink" Target="https://www.cnews.ru/news/line/2026-03-04_npf_professionalnyj_vnedril" TargetMode="External"/><Relationship Id="rId14" Type="http://schemas.openxmlformats.org/officeDocument/2006/relationships/hyperlink" Target="https://www.rbc.ru/quote/news/article/69a800769a79475292d67479" TargetMode="External"/><Relationship Id="rId22" Type="http://schemas.openxmlformats.org/officeDocument/2006/relationships/hyperlink" Target="https://www.vbr.ru/banki/help/vklady/kak-nakopit-na-pensiyu-samostoyatelno-v-rossii/" TargetMode="External"/><Relationship Id="rId27" Type="http://schemas.openxmlformats.org/officeDocument/2006/relationships/hyperlink" Target="https://tass.ru/obschestvo/26637745" TargetMode="External"/><Relationship Id="rId30" Type="http://schemas.openxmlformats.org/officeDocument/2006/relationships/hyperlink" Target="https://frankmedia.ru/264952" TargetMode="External"/><Relationship Id="rId35" Type="http://schemas.openxmlformats.org/officeDocument/2006/relationships/hyperlink" Target="https://primpress.ru/article/132333" TargetMode="External"/><Relationship Id="rId43" Type="http://schemas.openxmlformats.org/officeDocument/2006/relationships/hyperlink" Target="https://www.rbc.ru/rbcfreenews/69a834909a7947b5d8bff825" TargetMode="External"/><Relationship Id="rId48" Type="http://schemas.openxmlformats.org/officeDocument/2006/relationships/hyperlink" Target="https://sochi.mk.ru/social/2026/03/04/soiskateli-starshe-5055-let-mogut-sostavit-znachitelnuyu-konkurenciyu-zumeram-na-ryade-dolzhnostey.html" TargetMode="External"/><Relationship Id="rId56" Type="http://schemas.openxmlformats.org/officeDocument/2006/relationships/fontTable" Target="fontTable.xml"/><Relationship Id="rId8" Type="http://schemas.openxmlformats.org/officeDocument/2006/relationships/hyperlink" Target="https://raexpert.ru/rankings/managing/" TargetMode="External"/><Relationship Id="rId51" Type="http://schemas.openxmlformats.org/officeDocument/2006/relationships/hyperlink" Target="https://wek.ru/istinnye-prichiny-snizheniya-rozhdaemosti-vo-vsem-mire" TargetMode="External"/><Relationship Id="rId3" Type="http://schemas.openxmlformats.org/officeDocument/2006/relationships/settings" Target="settings.xml"/><Relationship Id="rId12" Type="http://schemas.openxmlformats.org/officeDocument/2006/relationships/hyperlink" Target="https://tass.ru/ekonomika/26643021" TargetMode="External"/><Relationship Id="rId17" Type="http://schemas.openxmlformats.org/officeDocument/2006/relationships/hyperlink" Target="https://konkurent.ru/article/85156" TargetMode="External"/><Relationship Id="rId25" Type="http://schemas.openxmlformats.org/officeDocument/2006/relationships/hyperlink" Target="https://in-news.ru/news/zhiteli-khmao-vlozhili-v-programmu-dolgosrochnykh-sberezheniy-11-6-mlrd-rubley-/" TargetMode="External"/><Relationship Id="rId33" Type="http://schemas.openxmlformats.org/officeDocument/2006/relationships/hyperlink" Target="https://konkurent.ru/article/85124" TargetMode="External"/><Relationship Id="rId38" Type="http://schemas.openxmlformats.org/officeDocument/2006/relationships/hyperlink" Target="https://www.vedomosti.ru/economics/news/2026/03/04/1180786-minek-spad-vvp" TargetMode="External"/><Relationship Id="rId46" Type="http://schemas.openxmlformats.org/officeDocument/2006/relationships/hyperlink" Target="https://www.moneytimes.ru/news/investirovanie-dokhodnost-dengi-pribyl-fondovaja-birzha/142093/" TargetMode="External"/><Relationship Id="rId20" Type="http://schemas.openxmlformats.org/officeDocument/2006/relationships/hyperlink" Target="https://plusworld.ru/articles/70604/" TargetMode="External"/><Relationship Id="rId41" Type="http://schemas.openxmlformats.org/officeDocument/2006/relationships/hyperlink" Target="https://monocle.ru/2026/03/4/fondoviy-rynok-segodnya/"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bc.ru/quote/news/article/69a6cc929a794760f5427717" TargetMode="External"/><Relationship Id="rId23" Type="http://schemas.openxmlformats.org/officeDocument/2006/relationships/hyperlink" Target="https://tmn.aif.ru/society/sberezheniya-zhiteley-tyumenskoy-oblasti-prevysili-23-mlrd-rubley" TargetMode="External"/><Relationship Id="rId28" Type="http://schemas.openxmlformats.org/officeDocument/2006/relationships/hyperlink" Target="http://pbroker.ru/?p=81723" TargetMode="External"/><Relationship Id="rId36" Type="http://schemas.openxmlformats.org/officeDocument/2006/relationships/hyperlink" Target="https://primpress.ru/article/132316" TargetMode="External"/><Relationship Id="rId49" Type="http://schemas.openxmlformats.org/officeDocument/2006/relationships/hyperlink" Target="https://www.glavbukh.ru/art/393189-srednya-zarplat-regionam" TargetMode="External"/><Relationship Id="rId57" Type="http://schemas.openxmlformats.org/officeDocument/2006/relationships/theme" Target="theme/theme1.xml"/><Relationship Id="rId10" Type="http://schemas.openxmlformats.org/officeDocument/2006/relationships/hyperlink" Target="https://frankmedia.ru/265288" TargetMode="External"/><Relationship Id="rId31" Type="http://schemas.openxmlformats.org/officeDocument/2006/relationships/hyperlink" Target="https://aif.ru/money/mymoney/komu-povysyat-pensiyu-v-aprele-2026-goda" TargetMode="External"/><Relationship Id="rId44" Type="http://schemas.openxmlformats.org/officeDocument/2006/relationships/hyperlink" Target="https://www.interfax.ru/pressreleases/1076074" TargetMode="External"/><Relationship Id="rId52" Type="http://schemas.openxmlformats.org/officeDocument/2006/relationships/hyperlink" Target="https://tengrinews.kz/kazakhstan_news/pensiya-500-tyisyach-1-milliona-rascht-enpf-kazahstantsev-5934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88</Pages>
  <Words>32520</Words>
  <Characters>185366</Characters>
  <Application>Microsoft Office Word</Application>
  <DocSecurity>0</DocSecurity>
  <Lines>1544</Lines>
  <Paragraphs>434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217452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64</cp:revision>
  <cp:lastPrinted>2026-03-05T05:00:00Z</cp:lastPrinted>
  <dcterms:created xsi:type="dcterms:W3CDTF">2026-02-25T12:09:00Z</dcterms:created>
  <dcterms:modified xsi:type="dcterms:W3CDTF">2026-03-05T05:01:00Z</dcterms:modified>
  <cp:category>НАПФ</cp:category>
  <cp:contentStatus>И-Консалтинг</cp:contentStatus>
</cp:coreProperties>
</file>